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4DFF" w14:textId="4D3A4A94" w:rsidR="00E42BC2" w:rsidRPr="00BD319F" w:rsidRDefault="00003009" w:rsidP="00BD319F">
      <w:pPr>
        <w:pStyle w:val="Title"/>
      </w:pPr>
      <w:bookmarkStart w:id="0" w:name="OLE_LINK3"/>
      <w:bookmarkStart w:id="1" w:name="OLE_LINK4"/>
      <w:r w:rsidRPr="00BD319F">
        <w:t>PROHIBITION ON AIDING SEXUAL ABUSE</w:t>
      </w:r>
    </w:p>
    <w:p w14:paraId="7C2220A0" w14:textId="77777777" w:rsidR="00003009" w:rsidRPr="00003009" w:rsidRDefault="00003009" w:rsidP="00150E14">
      <w:pPr>
        <w:pStyle w:val="Heading1"/>
      </w:pPr>
      <w:r w:rsidRPr="00003009">
        <w:t>Definitions</w:t>
      </w:r>
    </w:p>
    <w:p w14:paraId="444A9708" w14:textId="77777777" w:rsidR="00003009" w:rsidRPr="00003009" w:rsidRDefault="00003009" w:rsidP="00BD319F">
      <w:pPr>
        <w:pStyle w:val="Paragraph"/>
        <w:spacing w:after="0"/>
      </w:pPr>
      <w:r w:rsidRPr="00003009">
        <w:t>For the purpose of this policy:</w:t>
      </w:r>
    </w:p>
    <w:p w14:paraId="7C90DFF3" w14:textId="77777777" w:rsidR="00003009" w:rsidRPr="00003009" w:rsidRDefault="00003009" w:rsidP="00150E14">
      <w:pPr>
        <w:pStyle w:val="BulletList"/>
      </w:pPr>
      <w:r w:rsidRPr="00003009">
        <w:rPr>
          <w:i/>
        </w:rPr>
        <w:t>Assisting</w:t>
      </w:r>
      <w:r w:rsidRPr="00003009">
        <w:t xml:space="preserve"> means to recommend, facilitate, aid, ease, expedite, promote, encourage, advance, stimulate, or accelerate. </w:t>
      </w:r>
    </w:p>
    <w:p w14:paraId="5CEC6982" w14:textId="77777777" w:rsidR="00003009" w:rsidRPr="00003009" w:rsidRDefault="00003009" w:rsidP="00BD319F">
      <w:pPr>
        <w:pStyle w:val="BulletList"/>
        <w:spacing w:after="0"/>
      </w:pPr>
      <w:r w:rsidRPr="00003009">
        <w:rPr>
          <w:i/>
        </w:rPr>
        <w:t>Sexual misconduct</w:t>
      </w:r>
      <w:r w:rsidRPr="00003009">
        <w:t xml:space="preserve"> may include, but is not limited to the following:</w:t>
      </w:r>
    </w:p>
    <w:p w14:paraId="7498805B" w14:textId="77777777" w:rsidR="00003009" w:rsidRPr="00003009" w:rsidRDefault="00003009" w:rsidP="00150E14">
      <w:pPr>
        <w:pStyle w:val="letterBullet"/>
        <w:spacing w:after="120"/>
      </w:pPr>
      <w:r w:rsidRPr="00003009">
        <w:t>Insults, disparaging remarks/names, and/or sarcasm, used to force compliance with a school employee’s, contractor’s, or agents’ requirements or expectations.</w:t>
      </w:r>
    </w:p>
    <w:p w14:paraId="198124FD" w14:textId="77777777" w:rsidR="00003009" w:rsidRPr="00003009" w:rsidRDefault="00003009" w:rsidP="00150E14">
      <w:pPr>
        <w:pStyle w:val="letterBullet"/>
        <w:spacing w:after="120"/>
      </w:pPr>
      <w:r w:rsidRPr="00003009">
        <w:t>Any conduct that would amount to sexual harassment, discrimination, or retaliation under Title IX of federal education amendments.</w:t>
      </w:r>
    </w:p>
    <w:p w14:paraId="0A74B031" w14:textId="77777777" w:rsidR="00003009" w:rsidRPr="00003009" w:rsidRDefault="00003009" w:rsidP="00150E14">
      <w:pPr>
        <w:pStyle w:val="letterBullet"/>
        <w:spacing w:after="120"/>
      </w:pPr>
      <w:r w:rsidRPr="00003009">
        <w:t>Any activity that may lead to a sexual relationship such as dating, sending intimate correspondence, and/or engaging in sexualized dialogue.</w:t>
      </w:r>
    </w:p>
    <w:p w14:paraId="3997F6B5" w14:textId="77777777" w:rsidR="00003009" w:rsidRPr="00003009" w:rsidRDefault="00003009" w:rsidP="00150E14">
      <w:pPr>
        <w:pStyle w:val="letterBullet"/>
        <w:spacing w:after="120"/>
      </w:pPr>
      <w:r w:rsidRPr="00003009">
        <w:t>Any sexual relationship between a school employee, contractor</w:t>
      </w:r>
      <w:r w:rsidR="004537CF">
        <w:t>,</w:t>
      </w:r>
      <w:r w:rsidRPr="00003009">
        <w:t xml:space="preserve"> or agent and a current student, regardless of their age, or a former student under the age of 18.</w:t>
      </w:r>
    </w:p>
    <w:p w14:paraId="15E04C5B" w14:textId="77777777" w:rsidR="00003009" w:rsidRPr="00003009" w:rsidRDefault="00003009" w:rsidP="00150E14">
      <w:pPr>
        <w:pStyle w:val="letterBullet"/>
        <w:spacing w:after="120"/>
      </w:pPr>
      <w:r w:rsidRPr="00003009">
        <w:t>Any conduct by a school employee, contractor</w:t>
      </w:r>
      <w:r w:rsidR="004537CF">
        <w:t>,</w:t>
      </w:r>
      <w:r w:rsidRPr="00003009">
        <w:t xml:space="preserve"> or agent that would constitute a sexual offense, sexual act, or sexual contact involving a minor or a student as defined in state law.</w:t>
      </w:r>
    </w:p>
    <w:p w14:paraId="58DE074A" w14:textId="1C09CF9F" w:rsidR="00003009" w:rsidRDefault="00003009" w:rsidP="00BD319F">
      <w:pPr>
        <w:pStyle w:val="BulletList"/>
        <w:spacing w:after="240"/>
      </w:pPr>
      <w:r w:rsidRPr="00003009">
        <w:rPr>
          <w:i/>
        </w:rPr>
        <w:t>School property</w:t>
      </w:r>
      <w:r w:rsidRPr="00003009">
        <w:t xml:space="preserve"> is defined in NDCC 15.1-19-10(6)(b) as all land within the perimeter of the school site and all school buildings, structures, facilities, and school vehicles, whether owned or leased by a school </w:t>
      </w:r>
      <w:r w:rsidR="008921B6">
        <w:t>Unit</w:t>
      </w:r>
      <w:r w:rsidRPr="00003009">
        <w:t>, and the site of any school-sponsored event or activity.</w:t>
      </w:r>
    </w:p>
    <w:p w14:paraId="58CA7F9E" w14:textId="77777777" w:rsidR="00003009" w:rsidRPr="00003009" w:rsidRDefault="00003009" w:rsidP="00150E14">
      <w:pPr>
        <w:pStyle w:val="Heading1"/>
      </w:pPr>
      <w:r w:rsidRPr="00003009">
        <w:t>Prohibited Action</w:t>
      </w:r>
    </w:p>
    <w:p w14:paraId="6B8EB327" w14:textId="34DD6283" w:rsidR="00003009" w:rsidRPr="00BD319F" w:rsidRDefault="00003009" w:rsidP="00BD319F">
      <w:pPr>
        <w:pStyle w:val="Paragraph"/>
      </w:pPr>
      <w:r w:rsidRPr="00BD319F">
        <w:t xml:space="preserve">The </w:t>
      </w:r>
      <w:r w:rsidR="008921B6">
        <w:t>Unit</w:t>
      </w:r>
      <w:r w:rsidRPr="00BD319F">
        <w:t xml:space="preserve"> prohibits any employee, contractor, or agent from assisting a school employee, contractor</w:t>
      </w:r>
      <w:r w:rsidR="004537CF" w:rsidRPr="00BD319F">
        <w:t>,</w:t>
      </w:r>
      <w:r w:rsidRPr="00BD319F">
        <w:t xml:space="preserve"> or agent in obtaining a new job if the individual or </w:t>
      </w:r>
      <w:r w:rsidR="009D3906" w:rsidRPr="00BD319F">
        <w:t xml:space="preserve">the </w:t>
      </w:r>
      <w:r w:rsidR="008921B6">
        <w:t>Unit</w:t>
      </w:r>
      <w:r w:rsidRPr="00BD319F">
        <w:t xml:space="preserve"> knows or has probable cause to believe that </w:t>
      </w:r>
      <w:r w:rsidR="009D3906" w:rsidRPr="00BD319F">
        <w:t xml:space="preserve">the </w:t>
      </w:r>
      <w:r w:rsidRPr="00BD319F">
        <w:t>employee, contractor</w:t>
      </w:r>
      <w:r w:rsidR="004537CF" w:rsidRPr="00BD319F">
        <w:t>,</w:t>
      </w:r>
      <w:r w:rsidRPr="00BD319F">
        <w:t xml:space="preserve"> or agent </w:t>
      </w:r>
      <w:r w:rsidR="007127E8" w:rsidRPr="00BD319F">
        <w:t xml:space="preserve">has </w:t>
      </w:r>
      <w:r w:rsidRPr="00BD319F">
        <w:t xml:space="preserve">engaged in sexual misconduct </w:t>
      </w:r>
      <w:r w:rsidR="007127E8" w:rsidRPr="00BD319F">
        <w:t xml:space="preserve">with </w:t>
      </w:r>
      <w:r w:rsidRPr="00BD319F">
        <w:t xml:space="preserve">a student </w:t>
      </w:r>
      <w:r w:rsidR="007127E8" w:rsidRPr="00BD319F">
        <w:t xml:space="preserve">or minor </w:t>
      </w:r>
      <w:r w:rsidRPr="00BD319F">
        <w:t>in violation of the law.</w:t>
      </w:r>
    </w:p>
    <w:p w14:paraId="5C7BC871" w14:textId="0BB4A457" w:rsidR="00003009" w:rsidRPr="00BD319F" w:rsidRDefault="00003009" w:rsidP="00BD319F">
      <w:pPr>
        <w:pStyle w:val="Paragraph"/>
      </w:pPr>
      <w:r w:rsidRPr="00BD319F">
        <w:t xml:space="preserve">For the purposes of this policy, it shall not be deemed assisting in obtaining a new job to participate in routine procedures </w:t>
      </w:r>
      <w:r w:rsidR="007127E8" w:rsidRPr="00BD319F">
        <w:t>regarding</w:t>
      </w:r>
      <w:r w:rsidRPr="00BD319F">
        <w:t xml:space="preserve"> the transmission of administrative </w:t>
      </w:r>
      <w:r w:rsidR="007127E8" w:rsidRPr="00BD319F">
        <w:t xml:space="preserve">or </w:t>
      </w:r>
      <w:r w:rsidRPr="00BD319F">
        <w:t>personnel files in accordance with law or to confirm dates of employment.</w:t>
      </w:r>
    </w:p>
    <w:p w14:paraId="13C578D6" w14:textId="77777777" w:rsidR="00003009" w:rsidRPr="00BD319F" w:rsidRDefault="00003009" w:rsidP="00BD319F">
      <w:pPr>
        <w:pStyle w:val="Paragraph"/>
        <w:spacing w:after="0"/>
      </w:pPr>
      <w:r w:rsidRPr="00BD319F">
        <w:t>This prohibition does not apply under certain conditions specified by the Every Student Succeeds Act (ESSA) such as:</w:t>
      </w:r>
    </w:p>
    <w:p w14:paraId="51151E42" w14:textId="2C11423F" w:rsidR="004C3CDC" w:rsidRPr="00BD319F" w:rsidRDefault="00003009" w:rsidP="00BD319F">
      <w:pPr>
        <w:pStyle w:val="NumBulletHeader"/>
        <w:spacing w:after="0"/>
      </w:pPr>
      <w:r w:rsidRPr="00BD319F">
        <w:t xml:space="preserve">The </w:t>
      </w:r>
      <w:r w:rsidR="004C3CDC" w:rsidRPr="00BD319F">
        <w:t xml:space="preserve">information </w:t>
      </w:r>
      <w:r w:rsidRPr="00BD319F">
        <w:t xml:space="preserve">has been </w:t>
      </w:r>
      <w:r w:rsidR="007127E8" w:rsidRPr="00BD319F">
        <w:t xml:space="preserve">properly </w:t>
      </w:r>
      <w:r w:rsidRPr="00BD319F">
        <w:t xml:space="preserve">reported to </w:t>
      </w:r>
      <w:r w:rsidR="004C3CDC" w:rsidRPr="00BD319F">
        <w:t xml:space="preserve">a </w:t>
      </w:r>
      <w:r w:rsidRPr="00BD319F">
        <w:t xml:space="preserve">law enforcement </w:t>
      </w:r>
      <w:r w:rsidR="004C3CDC" w:rsidRPr="00BD319F">
        <w:t xml:space="preserve">agency with jurisdiction over the alleged misconduct, and any other </w:t>
      </w:r>
      <w:r w:rsidRPr="00BD319F">
        <w:t xml:space="preserve">authorities </w:t>
      </w:r>
      <w:r w:rsidR="004C3CDC" w:rsidRPr="00BD319F">
        <w:t>as required by federal, state, or local law;</w:t>
      </w:r>
      <w:r w:rsidR="007127E8" w:rsidRPr="00BD319F">
        <w:t xml:space="preserve"> and</w:t>
      </w:r>
    </w:p>
    <w:p w14:paraId="19B95ECB" w14:textId="5E5D1AE3" w:rsidR="00003009" w:rsidRPr="00BD319F" w:rsidRDefault="004C3CDC" w:rsidP="00BD319F">
      <w:pPr>
        <w:pStyle w:val="letterBullet"/>
        <w:numPr>
          <w:ilvl w:val="0"/>
          <w:numId w:val="21"/>
        </w:numPr>
        <w:ind w:left="1440" w:hanging="720"/>
      </w:pPr>
      <w:r w:rsidRPr="00BD319F">
        <w:t>The matter</w:t>
      </w:r>
      <w:r w:rsidR="00003009" w:rsidRPr="00BD319F">
        <w:t xml:space="preserve"> has been officially closed or the </w:t>
      </w:r>
      <w:r w:rsidR="004C73F9">
        <w:t>unit</w:t>
      </w:r>
      <w:r w:rsidR="00003009" w:rsidRPr="00BD319F">
        <w:t xml:space="preserve"> officials have been notified by the prosecutor or police after an investigation that there is insufficient information to establish probable cause</w:t>
      </w:r>
      <w:r w:rsidR="004537CF" w:rsidRPr="00BD319F">
        <w:t>;</w:t>
      </w:r>
    </w:p>
    <w:p w14:paraId="77765C4C" w14:textId="557ED103" w:rsidR="00003009" w:rsidRPr="00BD319F" w:rsidRDefault="00003009" w:rsidP="00BD319F">
      <w:pPr>
        <w:pStyle w:val="letterBullet"/>
      </w:pPr>
      <w:r w:rsidRPr="00BD319F">
        <w:t xml:space="preserve">The individual has been </w:t>
      </w:r>
      <w:r w:rsidR="009F0BFF" w:rsidRPr="00BD319F">
        <w:t xml:space="preserve">charged with, </w:t>
      </w:r>
      <w:r w:rsidR="00D103F4" w:rsidRPr="00BD319F">
        <w:t xml:space="preserve">and </w:t>
      </w:r>
      <w:r w:rsidRPr="00BD319F">
        <w:t xml:space="preserve">acquitted or otherwise </w:t>
      </w:r>
      <w:r w:rsidR="007127E8" w:rsidRPr="00BD319F">
        <w:t xml:space="preserve">exonerated </w:t>
      </w:r>
      <w:r w:rsidRPr="00BD319F">
        <w:t>of the alleged misconduct</w:t>
      </w:r>
      <w:r w:rsidR="004537CF" w:rsidRPr="00BD319F">
        <w:t xml:space="preserve">; </w:t>
      </w:r>
      <w:r w:rsidRPr="00BD319F">
        <w:t>or</w:t>
      </w:r>
    </w:p>
    <w:p w14:paraId="12BFC58D" w14:textId="531DB20B" w:rsidR="00003009" w:rsidRPr="00BD319F" w:rsidRDefault="00003009" w:rsidP="00BD319F">
      <w:pPr>
        <w:pStyle w:val="letterBullet"/>
        <w:spacing w:after="240"/>
      </w:pPr>
      <w:r w:rsidRPr="00BD319F">
        <w:t xml:space="preserve">The case remains open </w:t>
      </w:r>
      <w:r w:rsidR="00DE4763" w:rsidRPr="00BD319F">
        <w:t xml:space="preserve">and there have been no </w:t>
      </w:r>
      <w:r w:rsidRPr="00BD319F">
        <w:t>charges</w:t>
      </w:r>
      <w:r w:rsidR="004C3CDC" w:rsidRPr="00BD319F">
        <w:t xml:space="preserve"> filed against, or indictment of</w:t>
      </w:r>
      <w:r w:rsidR="00AE30FE" w:rsidRPr="00BD319F">
        <w:t>,</w:t>
      </w:r>
      <w:r w:rsidR="00D103F4" w:rsidRPr="00BD319F">
        <w:t xml:space="preserve"> the individual within</w:t>
      </w:r>
      <w:r w:rsidRPr="00BD319F">
        <w:t xml:space="preserve"> four years </w:t>
      </w:r>
      <w:r w:rsidR="00D103F4" w:rsidRPr="00BD319F">
        <w:t xml:space="preserve">of the date on which </w:t>
      </w:r>
      <w:r w:rsidRPr="00BD319F">
        <w:t>the information was reported to a law enforcement agency.</w:t>
      </w:r>
    </w:p>
    <w:p w14:paraId="43625BE8" w14:textId="77777777" w:rsidR="00003009" w:rsidRPr="00BD319F" w:rsidRDefault="00003009" w:rsidP="00BD319F">
      <w:pPr>
        <w:pStyle w:val="Heading1"/>
      </w:pPr>
      <w:r w:rsidRPr="00BD319F">
        <w:t>Reporting and Investigation</w:t>
      </w:r>
    </w:p>
    <w:p w14:paraId="2F6CB2AB" w14:textId="21FDA150" w:rsidR="00003009" w:rsidRPr="00BD319F" w:rsidRDefault="009D3906" w:rsidP="00BD319F">
      <w:pPr>
        <w:pStyle w:val="Paragraph"/>
      </w:pPr>
      <w:r w:rsidRPr="00BD319F">
        <w:t xml:space="preserve">If an </w:t>
      </w:r>
      <w:r w:rsidR="00003009" w:rsidRPr="00BD319F">
        <w:t xml:space="preserve">individual has reason to believe that </w:t>
      </w:r>
      <w:r w:rsidR="00AE70BC" w:rsidRPr="00BD319F">
        <w:t xml:space="preserve">an employee </w:t>
      </w:r>
      <w:r w:rsidR="00003009" w:rsidRPr="00BD319F">
        <w:t xml:space="preserve">may have violated </w:t>
      </w:r>
      <w:r w:rsidR="00AE70BC" w:rsidRPr="00BD319F">
        <w:t>this policy</w:t>
      </w:r>
      <w:r w:rsidRPr="00BD319F">
        <w:t>, they are</w:t>
      </w:r>
      <w:r w:rsidR="00AE70BC" w:rsidRPr="00BD319F">
        <w:t xml:space="preserve"> </w:t>
      </w:r>
      <w:r w:rsidR="00003009" w:rsidRPr="00BD319F">
        <w:t xml:space="preserve">required to report the alleged violation to </w:t>
      </w:r>
      <w:bookmarkStart w:id="2" w:name="_Hlk10122063"/>
      <w:r w:rsidR="00003009" w:rsidRPr="00BD319F">
        <w:t xml:space="preserve">a building administrator or the </w:t>
      </w:r>
      <w:r w:rsidR="008921B6">
        <w:t>Director</w:t>
      </w:r>
      <w:r w:rsidR="00003009" w:rsidRPr="00BD319F">
        <w:t xml:space="preserve"> as soon as possible. </w:t>
      </w:r>
      <w:bookmarkEnd w:id="2"/>
      <w:r w:rsidR="00BD319F">
        <w:t xml:space="preserve"> </w:t>
      </w:r>
      <w:r w:rsidR="00003009" w:rsidRPr="00BD319F">
        <w:t xml:space="preserve">All reported prohibited behavior shall be investigated by the </w:t>
      </w:r>
      <w:r w:rsidR="008921B6">
        <w:t>Director</w:t>
      </w:r>
      <w:r w:rsidR="00003009" w:rsidRPr="00BD319F">
        <w:t>.</w:t>
      </w:r>
    </w:p>
    <w:p w14:paraId="294944B1" w14:textId="1FBEAF0C" w:rsidR="00176F44" w:rsidRPr="00BD319F" w:rsidRDefault="00003009" w:rsidP="00BD319F">
      <w:pPr>
        <w:pStyle w:val="Paragraph"/>
      </w:pPr>
      <w:bookmarkStart w:id="3" w:name="_Hlk10032972"/>
      <w:r w:rsidRPr="00BD319F">
        <w:t xml:space="preserve">If the </w:t>
      </w:r>
      <w:r w:rsidR="008921B6">
        <w:t>Director</w:t>
      </w:r>
      <w:r w:rsidRPr="00BD319F">
        <w:t xml:space="preserve"> </w:t>
      </w:r>
      <w:r w:rsidR="003738EF" w:rsidRPr="00BD319F">
        <w:t xml:space="preserve">or Business Manager </w:t>
      </w:r>
      <w:r w:rsidRPr="00BD319F">
        <w:t xml:space="preserve">is believed to have violated this policy, the alleged violation shall be reported to the Board President </w:t>
      </w:r>
      <w:bookmarkStart w:id="4" w:name="_Hlk10031212"/>
      <w:r w:rsidRPr="00BD319F">
        <w:t>who is responsible for conducting the investigation</w:t>
      </w:r>
      <w:r w:rsidR="003738EF" w:rsidRPr="00BD319F">
        <w:t xml:space="preserve"> </w:t>
      </w:r>
      <w:bookmarkStart w:id="5" w:name="_Hlk10033031"/>
      <w:r w:rsidR="003738EF" w:rsidRPr="00BD319F">
        <w:t xml:space="preserve">and making a recommendation </w:t>
      </w:r>
      <w:r w:rsidR="006B420D" w:rsidRPr="00BD319F">
        <w:t xml:space="preserve">based on the outcome of the investigation </w:t>
      </w:r>
      <w:r w:rsidR="003738EF" w:rsidRPr="00BD319F">
        <w:t xml:space="preserve">to the Board for </w:t>
      </w:r>
      <w:r w:rsidR="00882B5C" w:rsidRPr="00BD319F">
        <w:t xml:space="preserve">determination and </w:t>
      </w:r>
      <w:r w:rsidR="003738EF" w:rsidRPr="00BD319F">
        <w:t xml:space="preserve">final action. </w:t>
      </w:r>
      <w:bookmarkEnd w:id="5"/>
      <w:r w:rsidR="00BD319F">
        <w:t xml:space="preserve"> </w:t>
      </w:r>
      <w:r w:rsidR="003738EF" w:rsidRPr="00BD319F">
        <w:t xml:space="preserve">The </w:t>
      </w:r>
      <w:r w:rsidR="007127E8" w:rsidRPr="004C73F9">
        <w:t>Board</w:t>
      </w:r>
      <w:r w:rsidR="007127E8" w:rsidRPr="004C73F9">
        <w:rPr>
          <w:b/>
          <w:bCs/>
        </w:rPr>
        <w:t xml:space="preserve"> </w:t>
      </w:r>
      <w:r w:rsidR="007127E8" w:rsidRPr="004C73F9">
        <w:t>President</w:t>
      </w:r>
      <w:r w:rsidR="004C73F9">
        <w:rPr>
          <w:b/>
          <w:bCs/>
        </w:rPr>
        <w:t xml:space="preserve"> </w:t>
      </w:r>
      <w:r w:rsidR="003738EF" w:rsidRPr="00BD319F">
        <w:t xml:space="preserve">may retain an attorney or consultant to assist with the investigation process. </w:t>
      </w:r>
      <w:bookmarkEnd w:id="3"/>
    </w:p>
    <w:bookmarkEnd w:id="4"/>
    <w:p w14:paraId="7373F91F" w14:textId="6F2E5404" w:rsidR="00003009" w:rsidRPr="00BD319F" w:rsidRDefault="00003009" w:rsidP="00BD319F">
      <w:pPr>
        <w:pStyle w:val="Heading1"/>
      </w:pPr>
      <w:r w:rsidRPr="00BD319F">
        <w:t>Violation</w:t>
      </w:r>
    </w:p>
    <w:p w14:paraId="43290449" w14:textId="76D0F0B8" w:rsidR="00003009" w:rsidRPr="00BD319F" w:rsidRDefault="00003009" w:rsidP="00BD319F">
      <w:pPr>
        <w:pStyle w:val="Paragraph"/>
      </w:pPr>
      <w:bookmarkStart w:id="6" w:name="_Hlk10032789"/>
      <w:r w:rsidRPr="00BD319F">
        <w:t xml:space="preserve">If disciplinary action is deemed warranted at the completion of the investigation, the </w:t>
      </w:r>
      <w:r w:rsidR="008921B6">
        <w:t>Unit</w:t>
      </w:r>
      <w:r w:rsidRPr="00BD319F">
        <w:t xml:space="preserve"> shall take appropriate action up to and including termination of employment in accordance with law and/or reporting such activity to appropriate state licensing and law enforcement officials.</w:t>
      </w:r>
    </w:p>
    <w:p w14:paraId="17963F43" w14:textId="77777777" w:rsidR="00003009" w:rsidRPr="00BD319F" w:rsidRDefault="00003009" w:rsidP="00BD319F">
      <w:pPr>
        <w:pStyle w:val="Heading1"/>
      </w:pPr>
      <w:bookmarkStart w:id="7" w:name="_Hlk10037541"/>
      <w:bookmarkEnd w:id="6"/>
      <w:r w:rsidRPr="00BD319F">
        <w:t>Retaliation and Providing False Information Prohibited</w:t>
      </w:r>
    </w:p>
    <w:p w14:paraId="7A059F8A" w14:textId="5BE7A565" w:rsidR="00003009" w:rsidRPr="00BD319F" w:rsidRDefault="00003009" w:rsidP="00BD319F">
      <w:pPr>
        <w:pStyle w:val="Paragraph"/>
      </w:pPr>
      <w:r w:rsidRPr="00BD319F">
        <w:t xml:space="preserve">The </w:t>
      </w:r>
      <w:r w:rsidR="008921B6">
        <w:t>Unit</w:t>
      </w:r>
      <w:r w:rsidRPr="00BD319F">
        <w:t xml:space="preserve"> prohibits retaliation for an individual’s participation in an investigation and/or initiation of a report under this policy, including instances when an allegation is not substantiated. </w:t>
      </w:r>
      <w:r w:rsidR="00BD319F">
        <w:t xml:space="preserve"> </w:t>
      </w:r>
      <w:r w:rsidRPr="00BD319F">
        <w:t xml:space="preserve">The </w:t>
      </w:r>
      <w:r w:rsidR="008921B6">
        <w:t>Unit</w:t>
      </w:r>
      <w:r w:rsidRPr="00BD319F">
        <w:t xml:space="preserve"> also prohibits knowingly filing a false report and/or knowingly making false statements during an investigation. </w:t>
      </w:r>
      <w:r w:rsidR="00BD319F">
        <w:t xml:space="preserve"> </w:t>
      </w:r>
      <w:r w:rsidRPr="00BD319F">
        <w:t>Staff who violate</w:t>
      </w:r>
      <w:r w:rsidR="004C73F9">
        <w:t>s</w:t>
      </w:r>
      <w:r w:rsidRPr="00BD319F">
        <w:t xml:space="preserve"> these prohibitions are subject to appropriate disciplinary action.</w:t>
      </w:r>
    </w:p>
    <w:bookmarkEnd w:id="7"/>
    <w:p w14:paraId="44C665CC" w14:textId="77777777" w:rsidR="00003009" w:rsidRPr="00BD319F" w:rsidRDefault="00003009" w:rsidP="00BD319F">
      <w:pPr>
        <w:pStyle w:val="CrossRef"/>
      </w:pPr>
      <w:r w:rsidRPr="00BD319F">
        <w:tab/>
      </w:r>
    </w:p>
    <w:p w14:paraId="0A3C15E9" w14:textId="77777777" w:rsidR="00003009" w:rsidRPr="00BD319F" w:rsidRDefault="00003009" w:rsidP="00BD319F">
      <w:pPr>
        <w:pStyle w:val="Paragraph"/>
        <w:spacing w:after="0"/>
      </w:pPr>
      <w:r w:rsidRPr="00BD319F">
        <w:t>Complementing NDSBA Templates (may contain items not adopted by the Board)</w:t>
      </w:r>
    </w:p>
    <w:p w14:paraId="3E21341B" w14:textId="77777777" w:rsidR="00003009" w:rsidRPr="00BD319F" w:rsidRDefault="00003009" w:rsidP="00BD319F">
      <w:pPr>
        <w:pStyle w:val="BulletList"/>
        <w:spacing w:after="0"/>
      </w:pPr>
      <w:r w:rsidRPr="00BD319F">
        <w:t>ACCA, Sexual Offenders on School Property</w:t>
      </w:r>
    </w:p>
    <w:p w14:paraId="1AD8CCF2" w14:textId="77777777" w:rsidR="00003009" w:rsidRPr="00BD319F" w:rsidRDefault="00003009" w:rsidP="00BD319F">
      <w:pPr>
        <w:pStyle w:val="BulletList"/>
        <w:spacing w:after="0"/>
      </w:pPr>
      <w:r w:rsidRPr="00BD319F">
        <w:t>BA, School Board Ethics</w:t>
      </w:r>
    </w:p>
    <w:p w14:paraId="0A3B314A" w14:textId="77777777" w:rsidR="00003009" w:rsidRPr="00BD319F" w:rsidRDefault="00003009" w:rsidP="00BD319F">
      <w:pPr>
        <w:pStyle w:val="BulletList"/>
        <w:spacing w:after="0"/>
      </w:pPr>
      <w:r w:rsidRPr="00BD319F">
        <w:t>DBAA, Recruitment, Hiring, &amp; Background Checks for New Classified Personnel</w:t>
      </w:r>
    </w:p>
    <w:p w14:paraId="1BDEA167" w14:textId="77777777" w:rsidR="00003009" w:rsidRPr="00BD319F" w:rsidRDefault="00003009" w:rsidP="00BD319F">
      <w:pPr>
        <w:pStyle w:val="BulletList"/>
        <w:spacing w:after="0"/>
      </w:pPr>
      <w:r w:rsidRPr="00BD319F">
        <w:t xml:space="preserve">DBAC, Recruiting &amp; Hiring Teachers </w:t>
      </w:r>
    </w:p>
    <w:p w14:paraId="46E2A4C4" w14:textId="77777777" w:rsidR="00003009" w:rsidRPr="00BD319F" w:rsidRDefault="00003009" w:rsidP="00BD319F">
      <w:pPr>
        <w:pStyle w:val="BulletList"/>
        <w:spacing w:after="0"/>
      </w:pPr>
      <w:r w:rsidRPr="00BD319F">
        <w:t>DE, Staff Code of Conduct</w:t>
      </w:r>
    </w:p>
    <w:p w14:paraId="7FD7BD74" w14:textId="2885D3F5" w:rsidR="00003009" w:rsidRPr="00BD319F" w:rsidRDefault="00003009" w:rsidP="00BD319F">
      <w:pPr>
        <w:pStyle w:val="BulletList"/>
        <w:spacing w:after="240"/>
      </w:pPr>
      <w:r w:rsidRPr="00BD319F">
        <w:t>DEBD, Staff-Student Relations (Non-Fraternization Policy)</w:t>
      </w:r>
    </w:p>
    <w:bookmarkEnd w:id="0"/>
    <w:bookmarkEnd w:id="1"/>
    <w:p w14:paraId="128C0B92" w14:textId="00C5531D" w:rsidR="00E42BC2" w:rsidRDefault="00E42BC2" w:rsidP="00BD319F">
      <w:pPr>
        <w:pStyle w:val="EndofPolicy"/>
      </w:pPr>
      <w:r w:rsidRPr="00BD319F">
        <w:t xml:space="preserve">End of </w:t>
      </w:r>
      <w:r w:rsidR="00AF79C9">
        <w:t>East Central Special Education Unit</w:t>
      </w:r>
      <w:r w:rsidR="00AF79C9" w:rsidRPr="00C1712C">
        <w:t xml:space="preserve"> </w:t>
      </w:r>
      <w:r w:rsidR="000C40D9" w:rsidRPr="00BD319F">
        <w:t>Policy</w:t>
      </w:r>
      <w:r w:rsidR="00003009" w:rsidRPr="00BD319F">
        <w:t xml:space="preserve"> ABCE</w:t>
      </w:r>
      <w:r w:rsidRPr="00BD319F">
        <w:tab/>
        <w:t>Adopted:</w:t>
      </w:r>
      <w:r w:rsidR="00B14365">
        <w:t xml:space="preserve">  12-21-22</w:t>
      </w:r>
    </w:p>
    <w:p w14:paraId="3D6FA577" w14:textId="287B74A5" w:rsidR="002B0620" w:rsidRDefault="002B0620" w:rsidP="00BD319F">
      <w:pPr>
        <w:pStyle w:val="EndofPolicy"/>
      </w:pPr>
      <w:r>
        <w:t>First Reading 11-23-22</w:t>
      </w:r>
    </w:p>
    <w:p w14:paraId="2336ACB1" w14:textId="0EC57AAC" w:rsidR="002B0620" w:rsidRPr="00BD319F" w:rsidRDefault="002B0620" w:rsidP="00BD319F">
      <w:pPr>
        <w:pStyle w:val="EndofPolicy"/>
      </w:pPr>
      <w:r>
        <w:t>Second Reading 12-</w:t>
      </w:r>
      <w:r w:rsidR="002F780E">
        <w:t>21-</w:t>
      </w:r>
      <w:r>
        <w:t>22</w:t>
      </w:r>
    </w:p>
    <w:sectPr w:rsidR="002B0620" w:rsidRPr="00BD319F" w:rsidSect="005631F4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BDD3F" w14:textId="77777777" w:rsidR="0077736C" w:rsidRDefault="0077736C" w:rsidP="006B35CE">
      <w:r>
        <w:separator/>
      </w:r>
    </w:p>
    <w:p w14:paraId="69939B4B" w14:textId="77777777" w:rsidR="0077736C" w:rsidRDefault="0077736C"/>
    <w:p w14:paraId="5EB96B2E" w14:textId="77777777" w:rsidR="0077736C" w:rsidRDefault="0077736C" w:rsidP="00311080"/>
    <w:p w14:paraId="0A51A2E0" w14:textId="77777777" w:rsidR="0077736C" w:rsidRDefault="0077736C" w:rsidP="00311080"/>
  </w:endnote>
  <w:endnote w:type="continuationSeparator" w:id="0">
    <w:p w14:paraId="13F4B7D2" w14:textId="77777777" w:rsidR="0077736C" w:rsidRDefault="0077736C" w:rsidP="006B35CE">
      <w:r>
        <w:continuationSeparator/>
      </w:r>
    </w:p>
    <w:p w14:paraId="2E3CB5C0" w14:textId="77777777" w:rsidR="0077736C" w:rsidRDefault="0077736C"/>
    <w:p w14:paraId="6A156502" w14:textId="77777777" w:rsidR="0077736C" w:rsidRDefault="0077736C" w:rsidP="00311080"/>
    <w:p w14:paraId="51D0EAE5" w14:textId="77777777" w:rsidR="0077736C" w:rsidRDefault="0077736C" w:rsidP="003110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94039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5CFD4635" w14:textId="77777777" w:rsidR="00003009" w:rsidRPr="00003009" w:rsidRDefault="00003009">
        <w:pPr>
          <w:pStyle w:val="Footer0"/>
          <w:jc w:val="center"/>
          <w:rPr>
            <w:rFonts w:ascii="Arial" w:hAnsi="Arial" w:cs="Arial"/>
            <w:sz w:val="22"/>
            <w:szCs w:val="22"/>
          </w:rPr>
        </w:pPr>
        <w:r w:rsidRPr="00003009">
          <w:rPr>
            <w:rFonts w:ascii="Arial" w:hAnsi="Arial" w:cs="Arial"/>
            <w:sz w:val="22"/>
            <w:szCs w:val="22"/>
          </w:rPr>
          <w:fldChar w:fldCharType="begin"/>
        </w:r>
        <w:r w:rsidRPr="00003009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003009">
          <w:rPr>
            <w:rFonts w:ascii="Arial" w:hAnsi="Arial" w:cs="Arial"/>
            <w:sz w:val="22"/>
            <w:szCs w:val="22"/>
          </w:rPr>
          <w:fldChar w:fldCharType="separate"/>
        </w:r>
        <w:r w:rsidR="006758BC">
          <w:rPr>
            <w:rFonts w:ascii="Arial" w:hAnsi="Arial" w:cs="Arial"/>
            <w:noProof/>
            <w:sz w:val="22"/>
            <w:szCs w:val="22"/>
          </w:rPr>
          <w:t>2</w:t>
        </w:r>
        <w:r w:rsidRPr="00003009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90501" w14:textId="77777777" w:rsidR="0077736C" w:rsidRDefault="0077736C" w:rsidP="006B35CE">
      <w:r>
        <w:separator/>
      </w:r>
    </w:p>
  </w:footnote>
  <w:footnote w:type="continuationSeparator" w:id="0">
    <w:p w14:paraId="5617E8F9" w14:textId="77777777" w:rsidR="0077736C" w:rsidRDefault="0077736C" w:rsidP="006B35CE">
      <w:r>
        <w:continuationSeparator/>
      </w:r>
    </w:p>
    <w:p w14:paraId="6E516F26" w14:textId="77777777" w:rsidR="0077736C" w:rsidRDefault="0077736C"/>
    <w:p w14:paraId="4521E4B7" w14:textId="77777777" w:rsidR="0077736C" w:rsidRDefault="0077736C" w:rsidP="00311080"/>
    <w:p w14:paraId="40500723" w14:textId="77777777" w:rsidR="0077736C" w:rsidRDefault="0077736C" w:rsidP="003110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1D70" w14:textId="62465E40" w:rsidR="009F487D" w:rsidRDefault="00003009" w:rsidP="005631F4">
    <w:pPr>
      <w:pStyle w:val="HeadeCode"/>
    </w:pPr>
    <w:r>
      <w:rPr>
        <w:b/>
      </w:rPr>
      <w:t>REQUIRED</w:t>
    </w:r>
    <w:r w:rsidR="009F487D" w:rsidRPr="004B7A81">
      <w:tab/>
      <w:t xml:space="preserve">Descriptor Code: </w:t>
    </w:r>
    <w:r>
      <w:t>ABCE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20FE"/>
    <w:multiLevelType w:val="hybridMultilevel"/>
    <w:tmpl w:val="6CE27C1C"/>
    <w:lvl w:ilvl="0" w:tplc="CE02D686">
      <w:start w:val="1"/>
      <w:numFmt w:val="lowerLetter"/>
      <w:pStyle w:val="letterBullet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17C32"/>
    <w:multiLevelType w:val="hybridMultilevel"/>
    <w:tmpl w:val="BBA41478"/>
    <w:lvl w:ilvl="0" w:tplc="90B4F55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236F3"/>
    <w:multiLevelType w:val="hybridMultilevel"/>
    <w:tmpl w:val="A0C88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E0A96"/>
    <w:multiLevelType w:val="hybridMultilevel"/>
    <w:tmpl w:val="A0CE927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A320F"/>
    <w:multiLevelType w:val="hybridMultilevel"/>
    <w:tmpl w:val="4AE0F07A"/>
    <w:lvl w:ilvl="0" w:tplc="9E6882EE">
      <w:start w:val="1"/>
      <w:numFmt w:val="decimal"/>
      <w:pStyle w:val="NumBulletHead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65E5B"/>
    <w:multiLevelType w:val="hybridMultilevel"/>
    <w:tmpl w:val="3856C162"/>
    <w:lvl w:ilvl="0" w:tplc="76C837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607C9"/>
    <w:multiLevelType w:val="hybridMultilevel"/>
    <w:tmpl w:val="2D986ED8"/>
    <w:lvl w:ilvl="0" w:tplc="09647FD2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B2DCB"/>
    <w:multiLevelType w:val="hybridMultilevel"/>
    <w:tmpl w:val="5AD0493E"/>
    <w:lvl w:ilvl="0" w:tplc="6D3883DE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B1B3F"/>
    <w:multiLevelType w:val="hybridMultilevel"/>
    <w:tmpl w:val="42983D84"/>
    <w:lvl w:ilvl="0" w:tplc="40486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46274"/>
    <w:multiLevelType w:val="hybridMultilevel"/>
    <w:tmpl w:val="77383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05A"/>
    <w:multiLevelType w:val="hybridMultilevel"/>
    <w:tmpl w:val="5184C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45F70"/>
    <w:multiLevelType w:val="hybridMultilevel"/>
    <w:tmpl w:val="8F0EA152"/>
    <w:lvl w:ilvl="0" w:tplc="716A92A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267BE"/>
    <w:multiLevelType w:val="hybridMultilevel"/>
    <w:tmpl w:val="D21AC1B2"/>
    <w:lvl w:ilvl="0" w:tplc="A91E826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DB0737"/>
    <w:multiLevelType w:val="hybridMultilevel"/>
    <w:tmpl w:val="03C63690"/>
    <w:lvl w:ilvl="0" w:tplc="E2521A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95499"/>
    <w:multiLevelType w:val="hybridMultilevel"/>
    <w:tmpl w:val="8354C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7A1D"/>
    <w:multiLevelType w:val="hybridMultilevel"/>
    <w:tmpl w:val="FF9A5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C2807"/>
    <w:multiLevelType w:val="hybridMultilevel"/>
    <w:tmpl w:val="C10C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84971"/>
    <w:multiLevelType w:val="hybridMultilevel"/>
    <w:tmpl w:val="7A767CE0"/>
    <w:lvl w:ilvl="0" w:tplc="C7E64BC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B50CE"/>
    <w:multiLevelType w:val="hybridMultilevel"/>
    <w:tmpl w:val="6EF08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794134">
    <w:abstractNumId w:val="12"/>
  </w:num>
  <w:num w:numId="2" w16cid:durableId="878586739">
    <w:abstractNumId w:val="2"/>
  </w:num>
  <w:num w:numId="3" w16cid:durableId="1698311509">
    <w:abstractNumId w:val="10"/>
  </w:num>
  <w:num w:numId="4" w16cid:durableId="737173136">
    <w:abstractNumId w:val="9"/>
  </w:num>
  <w:num w:numId="5" w16cid:durableId="1255476136">
    <w:abstractNumId w:val="7"/>
  </w:num>
  <w:num w:numId="6" w16cid:durableId="9744131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0077105">
    <w:abstractNumId w:val="15"/>
  </w:num>
  <w:num w:numId="8" w16cid:durableId="36398025">
    <w:abstractNumId w:val="8"/>
  </w:num>
  <w:num w:numId="9" w16cid:durableId="1241066407">
    <w:abstractNumId w:val="5"/>
  </w:num>
  <w:num w:numId="10" w16cid:durableId="857164097">
    <w:abstractNumId w:val="6"/>
  </w:num>
  <w:num w:numId="11" w16cid:durableId="1034040978">
    <w:abstractNumId w:val="16"/>
  </w:num>
  <w:num w:numId="12" w16cid:durableId="2019769818">
    <w:abstractNumId w:val="11"/>
  </w:num>
  <w:num w:numId="13" w16cid:durableId="1005016847">
    <w:abstractNumId w:val="17"/>
  </w:num>
  <w:num w:numId="14" w16cid:durableId="1704555003">
    <w:abstractNumId w:val="14"/>
  </w:num>
  <w:num w:numId="15" w16cid:durableId="833033228">
    <w:abstractNumId w:val="4"/>
  </w:num>
  <w:num w:numId="16" w16cid:durableId="339238516">
    <w:abstractNumId w:val="1"/>
  </w:num>
  <w:num w:numId="17" w16cid:durableId="2086149249">
    <w:abstractNumId w:val="0"/>
  </w:num>
  <w:num w:numId="18" w16cid:durableId="1549412895">
    <w:abstractNumId w:val="13"/>
  </w:num>
  <w:num w:numId="19" w16cid:durableId="69351968">
    <w:abstractNumId w:val="18"/>
  </w:num>
  <w:num w:numId="20" w16cid:durableId="1635136935">
    <w:abstractNumId w:val="3"/>
  </w:num>
  <w:num w:numId="21" w16cid:durableId="137510904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AA0"/>
    <w:rsid w:val="00003009"/>
    <w:rsid w:val="00032652"/>
    <w:rsid w:val="00047D88"/>
    <w:rsid w:val="00082296"/>
    <w:rsid w:val="00095D51"/>
    <w:rsid w:val="00096B13"/>
    <w:rsid w:val="00097869"/>
    <w:rsid w:val="000A7D25"/>
    <w:rsid w:val="000B4AAF"/>
    <w:rsid w:val="000C40D9"/>
    <w:rsid w:val="000D3FE9"/>
    <w:rsid w:val="000D7407"/>
    <w:rsid w:val="000E1B93"/>
    <w:rsid w:val="00134D2F"/>
    <w:rsid w:val="00150E14"/>
    <w:rsid w:val="001616D9"/>
    <w:rsid w:val="00176F44"/>
    <w:rsid w:val="00186AC7"/>
    <w:rsid w:val="001B2AB9"/>
    <w:rsid w:val="001B2E8C"/>
    <w:rsid w:val="001D34AD"/>
    <w:rsid w:val="001E06AA"/>
    <w:rsid w:val="001F5C84"/>
    <w:rsid w:val="00204A85"/>
    <w:rsid w:val="0021536E"/>
    <w:rsid w:val="00225A80"/>
    <w:rsid w:val="002B0620"/>
    <w:rsid w:val="002E1163"/>
    <w:rsid w:val="002F767A"/>
    <w:rsid w:val="002F780E"/>
    <w:rsid w:val="00311080"/>
    <w:rsid w:val="003247FC"/>
    <w:rsid w:val="003271DB"/>
    <w:rsid w:val="00361428"/>
    <w:rsid w:val="003738EF"/>
    <w:rsid w:val="003D5AE2"/>
    <w:rsid w:val="003E3F78"/>
    <w:rsid w:val="003F07FB"/>
    <w:rsid w:val="00404969"/>
    <w:rsid w:val="004537CF"/>
    <w:rsid w:val="00457D98"/>
    <w:rsid w:val="00472D55"/>
    <w:rsid w:val="004754F7"/>
    <w:rsid w:val="00491D32"/>
    <w:rsid w:val="004B75BF"/>
    <w:rsid w:val="004C3CDC"/>
    <w:rsid w:val="004C73F9"/>
    <w:rsid w:val="004D17FE"/>
    <w:rsid w:val="00504538"/>
    <w:rsid w:val="00537CC2"/>
    <w:rsid w:val="005551C2"/>
    <w:rsid w:val="005631F4"/>
    <w:rsid w:val="00583E4A"/>
    <w:rsid w:val="0059048C"/>
    <w:rsid w:val="00597E43"/>
    <w:rsid w:val="005C2FAB"/>
    <w:rsid w:val="005D3001"/>
    <w:rsid w:val="0061113E"/>
    <w:rsid w:val="006758BC"/>
    <w:rsid w:val="006777DC"/>
    <w:rsid w:val="00692D2D"/>
    <w:rsid w:val="006A7BD9"/>
    <w:rsid w:val="006B35CE"/>
    <w:rsid w:val="006B420D"/>
    <w:rsid w:val="006C1C59"/>
    <w:rsid w:val="006C5B26"/>
    <w:rsid w:val="007127E8"/>
    <w:rsid w:val="00753B59"/>
    <w:rsid w:val="007652B0"/>
    <w:rsid w:val="0077736C"/>
    <w:rsid w:val="00780E84"/>
    <w:rsid w:val="007A0BBC"/>
    <w:rsid w:val="007A5302"/>
    <w:rsid w:val="007E0A9A"/>
    <w:rsid w:val="00845EEF"/>
    <w:rsid w:val="00852E1E"/>
    <w:rsid w:val="00875321"/>
    <w:rsid w:val="00882B5C"/>
    <w:rsid w:val="00883F11"/>
    <w:rsid w:val="008921B6"/>
    <w:rsid w:val="008C0272"/>
    <w:rsid w:val="008C1EED"/>
    <w:rsid w:val="008D30D3"/>
    <w:rsid w:val="008E2FB3"/>
    <w:rsid w:val="008E53C9"/>
    <w:rsid w:val="008F264E"/>
    <w:rsid w:val="008F5DC0"/>
    <w:rsid w:val="008F757C"/>
    <w:rsid w:val="00900A81"/>
    <w:rsid w:val="00904520"/>
    <w:rsid w:val="009117AC"/>
    <w:rsid w:val="00921519"/>
    <w:rsid w:val="009228A6"/>
    <w:rsid w:val="0095351D"/>
    <w:rsid w:val="00984412"/>
    <w:rsid w:val="0099664E"/>
    <w:rsid w:val="009A269F"/>
    <w:rsid w:val="009D3906"/>
    <w:rsid w:val="009E1603"/>
    <w:rsid w:val="009F0BFF"/>
    <w:rsid w:val="009F487D"/>
    <w:rsid w:val="00A20013"/>
    <w:rsid w:val="00A24098"/>
    <w:rsid w:val="00A475D2"/>
    <w:rsid w:val="00A64884"/>
    <w:rsid w:val="00A7741D"/>
    <w:rsid w:val="00A850E2"/>
    <w:rsid w:val="00A90B76"/>
    <w:rsid w:val="00AB20E9"/>
    <w:rsid w:val="00AC40FB"/>
    <w:rsid w:val="00AE1927"/>
    <w:rsid w:val="00AE30FE"/>
    <w:rsid w:val="00AE696A"/>
    <w:rsid w:val="00AE70BC"/>
    <w:rsid w:val="00AF79C9"/>
    <w:rsid w:val="00B14365"/>
    <w:rsid w:val="00B5166B"/>
    <w:rsid w:val="00B6349D"/>
    <w:rsid w:val="00B64710"/>
    <w:rsid w:val="00B92843"/>
    <w:rsid w:val="00B967D5"/>
    <w:rsid w:val="00BB3881"/>
    <w:rsid w:val="00BB534A"/>
    <w:rsid w:val="00BC2A5E"/>
    <w:rsid w:val="00BD319F"/>
    <w:rsid w:val="00BE4C6C"/>
    <w:rsid w:val="00C1712C"/>
    <w:rsid w:val="00C3273D"/>
    <w:rsid w:val="00C43485"/>
    <w:rsid w:val="00C61406"/>
    <w:rsid w:val="00C81E97"/>
    <w:rsid w:val="00D04AA0"/>
    <w:rsid w:val="00D103F4"/>
    <w:rsid w:val="00D20AA6"/>
    <w:rsid w:val="00D32204"/>
    <w:rsid w:val="00D85619"/>
    <w:rsid w:val="00D976BD"/>
    <w:rsid w:val="00DE4763"/>
    <w:rsid w:val="00E01A49"/>
    <w:rsid w:val="00E14944"/>
    <w:rsid w:val="00E42BC2"/>
    <w:rsid w:val="00E44795"/>
    <w:rsid w:val="00E55118"/>
    <w:rsid w:val="00E6051E"/>
    <w:rsid w:val="00E938B0"/>
    <w:rsid w:val="00E9475D"/>
    <w:rsid w:val="00E95EEC"/>
    <w:rsid w:val="00EA2062"/>
    <w:rsid w:val="00EA2490"/>
    <w:rsid w:val="00ED17A8"/>
    <w:rsid w:val="00ED57F4"/>
    <w:rsid w:val="00EE73C1"/>
    <w:rsid w:val="00F30F97"/>
    <w:rsid w:val="00F42B94"/>
    <w:rsid w:val="00F622EC"/>
    <w:rsid w:val="00F6336B"/>
    <w:rsid w:val="00F85433"/>
    <w:rsid w:val="00F97C8F"/>
    <w:rsid w:val="00FA4AEB"/>
    <w:rsid w:val="00FD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B7900"/>
  <w15:docId w15:val="{BD04DCE6-3E34-4FAA-911B-A32236DB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BodyText"/>
    <w:next w:val="Normal"/>
    <w:qFormat/>
    <w:rsid w:val="006C5B26"/>
    <w:pPr>
      <w:spacing w:after="0"/>
      <w:outlineLvl w:val="0"/>
    </w:pPr>
    <w:rPr>
      <w:rFonts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A49"/>
    <w:pPr>
      <w:keepNext/>
      <w:spacing w:after="240"/>
      <w:jc w:val="center"/>
      <w:outlineLvl w:val="1"/>
    </w:pPr>
    <w:rPr>
      <w:rFonts w:ascii="Arial" w:hAnsi="Arial"/>
      <w:b/>
      <w:bCs/>
      <w:iCs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3">
    <w:name w:val="(Level3"/>
    <w:basedOn w:val="Heading1"/>
    <w:pPr>
      <w:spacing w:before="120" w:after="120"/>
    </w:pPr>
    <w:rPr>
      <w:sz w:val="28"/>
    </w:rPr>
  </w:style>
  <w:style w:type="paragraph" w:customStyle="1" w:styleId="BodyText">
    <w:name w:val="(BodyText"/>
    <w:basedOn w:val="Normal"/>
    <w:link w:val="BodyTextChar"/>
    <w:rsid w:val="00E01A49"/>
    <w:pPr>
      <w:tabs>
        <w:tab w:val="left" w:pos="432"/>
      </w:tabs>
      <w:spacing w:after="240"/>
      <w:jc w:val="both"/>
    </w:pPr>
    <w:rPr>
      <w:rFonts w:ascii="Arial" w:hAnsi="Arial"/>
    </w:rPr>
  </w:style>
  <w:style w:type="paragraph" w:customStyle="1" w:styleId="CrossRef">
    <w:name w:val="(CrossRef"/>
    <w:rsid w:val="006C5B26"/>
    <w:pPr>
      <w:tabs>
        <w:tab w:val="right" w:leader="underscore" w:pos="9360"/>
      </w:tabs>
      <w:jc w:val="both"/>
    </w:pPr>
    <w:rPr>
      <w:rFonts w:ascii="Arial" w:hAnsi="Arial"/>
      <w:b/>
      <w:sz w:val="24"/>
      <w:u w:val="single"/>
    </w:rPr>
  </w:style>
  <w:style w:type="paragraph" w:customStyle="1" w:styleId="Footer">
    <w:name w:val="(Footer"/>
    <w:basedOn w:val="Normal"/>
    <w:link w:val="FooterChar"/>
    <w:rsid w:val="001B2AB9"/>
    <w:pPr>
      <w:tabs>
        <w:tab w:val="left" w:pos="432"/>
        <w:tab w:val="right" w:leader="dot" w:pos="8640"/>
      </w:tabs>
      <w:spacing w:before="120" w:after="360"/>
      <w:jc w:val="both"/>
    </w:pPr>
    <w:rPr>
      <w:rFonts w:ascii="Arial" w:hAnsi="Arial"/>
      <w:b/>
      <w:sz w:val="20"/>
    </w:rPr>
  </w:style>
  <w:style w:type="paragraph" w:customStyle="1" w:styleId="Level1">
    <w:name w:val="(Level1"/>
    <w:basedOn w:val="Normal"/>
    <w:pPr>
      <w:spacing w:before="120" w:after="240"/>
    </w:pPr>
    <w:rPr>
      <w:rFonts w:ascii="Arial" w:hAnsi="Arial" w:cs="Arial"/>
      <w:b/>
      <w:bCs/>
      <w:sz w:val="28"/>
    </w:r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QuickI">
    <w:name w:val="Quick I."/>
    <w:pPr>
      <w:autoSpaceDE w:val="0"/>
      <w:autoSpaceDN w:val="0"/>
      <w:adjustRightInd w:val="0"/>
      <w:ind w:left="-2592"/>
      <w:jc w:val="both"/>
    </w:pPr>
    <w:rPr>
      <w:szCs w:val="24"/>
    </w:rPr>
  </w:style>
  <w:style w:type="paragraph" w:customStyle="1" w:styleId="Quick">
    <w:name w:val="Quick ע"/>
    <w:basedOn w:val="Normal"/>
    <w:pPr>
      <w:widowControl w:val="0"/>
    </w:pPr>
    <w:rPr>
      <w:szCs w:val="20"/>
    </w:rPr>
  </w:style>
  <w:style w:type="paragraph" w:styleId="BodyText0">
    <w:name w:val="Body Text"/>
    <w:basedOn w:val="Normal"/>
    <w:semiHidden/>
    <w:pPr>
      <w:widowControl w:val="0"/>
      <w:jc w:val="both"/>
    </w:pPr>
    <w:rPr>
      <w:rFonts w:ascii="Geneva" w:hAnsi="Geneva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E01A49"/>
    <w:rPr>
      <w:rFonts w:ascii="Arial" w:hAnsi="Arial"/>
      <w:b/>
      <w:bCs/>
      <w:i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B9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42B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3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B35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35CE"/>
  </w:style>
  <w:style w:type="character" w:styleId="FootnoteReference">
    <w:name w:val="footnote reference"/>
    <w:uiPriority w:val="99"/>
    <w:semiHidden/>
    <w:unhideWhenUsed/>
    <w:rsid w:val="006B35C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1E06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6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6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6A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06AA"/>
    <w:rPr>
      <w:b/>
      <w:bCs/>
    </w:rPr>
  </w:style>
  <w:style w:type="paragraph" w:styleId="Revision">
    <w:name w:val="Revision"/>
    <w:hidden/>
    <w:uiPriority w:val="99"/>
    <w:semiHidden/>
    <w:rsid w:val="001E06AA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17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17FE"/>
    <w:rPr>
      <w:sz w:val="24"/>
      <w:szCs w:val="24"/>
    </w:rPr>
  </w:style>
  <w:style w:type="paragraph" w:styleId="Footer0">
    <w:name w:val="footer"/>
    <w:basedOn w:val="Normal"/>
    <w:link w:val="FooterChar0"/>
    <w:uiPriority w:val="99"/>
    <w:unhideWhenUsed/>
    <w:rsid w:val="004D17FE"/>
    <w:pPr>
      <w:tabs>
        <w:tab w:val="center" w:pos="4680"/>
        <w:tab w:val="right" w:pos="9360"/>
      </w:tabs>
    </w:pPr>
  </w:style>
  <w:style w:type="character" w:customStyle="1" w:styleId="FooterChar0">
    <w:name w:val="Footer Char"/>
    <w:link w:val="Footer0"/>
    <w:uiPriority w:val="99"/>
    <w:rsid w:val="004D17FE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E1927"/>
    <w:pPr>
      <w:spacing w:after="240"/>
      <w:jc w:val="center"/>
      <w:outlineLvl w:val="0"/>
    </w:pPr>
    <w:rPr>
      <w:rFonts w:ascii="Arial" w:hAnsi="Arial"/>
      <w:b/>
      <w:bCs/>
      <w:kern w:val="28"/>
      <w:szCs w:val="32"/>
    </w:rPr>
  </w:style>
  <w:style w:type="character" w:customStyle="1" w:styleId="TitleChar">
    <w:name w:val="Title Char"/>
    <w:link w:val="Title"/>
    <w:uiPriority w:val="10"/>
    <w:rsid w:val="00AE1927"/>
    <w:rPr>
      <w:rFonts w:ascii="Arial" w:hAnsi="Arial"/>
      <w:b/>
      <w:bCs/>
      <w:kern w:val="28"/>
      <w:sz w:val="24"/>
      <w:szCs w:val="32"/>
    </w:rPr>
  </w:style>
  <w:style w:type="paragraph" w:customStyle="1" w:styleId="Paragraph">
    <w:name w:val="Paragraph"/>
    <w:basedOn w:val="BodyText"/>
    <w:link w:val="ParagraphChar"/>
    <w:qFormat/>
    <w:rsid w:val="006C5B26"/>
    <w:pPr>
      <w:tabs>
        <w:tab w:val="clear" w:pos="432"/>
        <w:tab w:val="left" w:pos="720"/>
      </w:tabs>
    </w:pPr>
    <w:rPr>
      <w:rFonts w:cs="Arial"/>
    </w:rPr>
  </w:style>
  <w:style w:type="paragraph" w:customStyle="1" w:styleId="NumBulletHeader">
    <w:name w:val="NumBulletHeader"/>
    <w:basedOn w:val="BodyText"/>
    <w:link w:val="NumBulletHeaderChar"/>
    <w:qFormat/>
    <w:rsid w:val="00032652"/>
    <w:pPr>
      <w:numPr>
        <w:numId w:val="15"/>
      </w:numPr>
      <w:tabs>
        <w:tab w:val="clear" w:pos="432"/>
      </w:tabs>
      <w:spacing w:after="120"/>
      <w:ind w:left="720" w:hanging="720"/>
    </w:pPr>
  </w:style>
  <w:style w:type="character" w:customStyle="1" w:styleId="BodyTextChar">
    <w:name w:val="(BodyText Char"/>
    <w:link w:val="BodyText"/>
    <w:rsid w:val="00311080"/>
    <w:rPr>
      <w:rFonts w:ascii="Arial" w:hAnsi="Arial"/>
      <w:sz w:val="24"/>
      <w:szCs w:val="24"/>
    </w:rPr>
  </w:style>
  <w:style w:type="character" w:customStyle="1" w:styleId="ParagraphChar">
    <w:name w:val="Paragraph Char"/>
    <w:link w:val="Paragraph"/>
    <w:rsid w:val="006C5B26"/>
    <w:rPr>
      <w:rFonts w:ascii="Arial" w:hAnsi="Arial" w:cs="Arial"/>
      <w:sz w:val="24"/>
      <w:szCs w:val="24"/>
    </w:rPr>
  </w:style>
  <w:style w:type="paragraph" w:customStyle="1" w:styleId="letterBullet">
    <w:name w:val="letter Bullet"/>
    <w:basedOn w:val="BodyText"/>
    <w:link w:val="letterBulletChar"/>
    <w:qFormat/>
    <w:rsid w:val="00032652"/>
    <w:pPr>
      <w:numPr>
        <w:numId w:val="17"/>
      </w:numPr>
      <w:tabs>
        <w:tab w:val="clear" w:pos="432"/>
        <w:tab w:val="left" w:pos="720"/>
      </w:tabs>
      <w:spacing w:after="0"/>
      <w:ind w:left="1440" w:hanging="720"/>
    </w:pPr>
  </w:style>
  <w:style w:type="character" w:customStyle="1" w:styleId="NumBulletHeaderChar">
    <w:name w:val="NumBulletHeader Char"/>
    <w:basedOn w:val="BodyTextChar"/>
    <w:link w:val="NumBulletHeader"/>
    <w:rsid w:val="00032652"/>
    <w:rPr>
      <w:rFonts w:ascii="Arial" w:hAnsi="Arial"/>
      <w:sz w:val="24"/>
      <w:szCs w:val="24"/>
    </w:rPr>
  </w:style>
  <w:style w:type="paragraph" w:customStyle="1" w:styleId="BulletList">
    <w:name w:val="Bullet List"/>
    <w:basedOn w:val="BodyText"/>
    <w:link w:val="BulletListChar"/>
    <w:qFormat/>
    <w:rsid w:val="00AE1927"/>
    <w:pPr>
      <w:numPr>
        <w:numId w:val="16"/>
      </w:numPr>
      <w:tabs>
        <w:tab w:val="clear" w:pos="432"/>
        <w:tab w:val="left" w:pos="720"/>
      </w:tabs>
      <w:spacing w:after="120"/>
      <w:ind w:hanging="720"/>
    </w:pPr>
  </w:style>
  <w:style w:type="character" w:customStyle="1" w:styleId="letterBulletChar">
    <w:name w:val="letter Bullet Char"/>
    <w:basedOn w:val="BodyTextChar"/>
    <w:link w:val="letterBullet"/>
    <w:rsid w:val="00032652"/>
    <w:rPr>
      <w:rFonts w:ascii="Arial" w:hAnsi="Arial"/>
      <w:sz w:val="24"/>
      <w:szCs w:val="24"/>
    </w:rPr>
  </w:style>
  <w:style w:type="paragraph" w:customStyle="1" w:styleId="EndofPolicy">
    <w:name w:val="End of Policy"/>
    <w:basedOn w:val="Footer"/>
    <w:link w:val="EndofPolicyChar"/>
    <w:qFormat/>
    <w:rsid w:val="006C5B26"/>
    <w:pPr>
      <w:tabs>
        <w:tab w:val="clear" w:pos="8640"/>
        <w:tab w:val="right" w:leader="dot" w:pos="9360"/>
      </w:tabs>
      <w:spacing w:before="240" w:after="240"/>
    </w:pPr>
    <w:rPr>
      <w:rFonts w:cs="Arial"/>
      <w:szCs w:val="20"/>
    </w:rPr>
  </w:style>
  <w:style w:type="character" w:customStyle="1" w:styleId="BulletListChar">
    <w:name w:val="Bullet List Char"/>
    <w:link w:val="BulletList"/>
    <w:rsid w:val="00AE1927"/>
    <w:rPr>
      <w:rFonts w:ascii="Arial" w:hAnsi="Arial"/>
      <w:sz w:val="24"/>
      <w:szCs w:val="24"/>
    </w:rPr>
  </w:style>
  <w:style w:type="paragraph" w:styleId="NoSpacing">
    <w:name w:val="No Spacing"/>
    <w:uiPriority w:val="1"/>
    <w:qFormat/>
    <w:rsid w:val="00C1712C"/>
    <w:rPr>
      <w:rFonts w:ascii="Arial" w:hAnsi="Arial"/>
      <w:sz w:val="24"/>
      <w:szCs w:val="24"/>
    </w:rPr>
  </w:style>
  <w:style w:type="character" w:customStyle="1" w:styleId="FooterChar">
    <w:name w:val="(Footer Char"/>
    <w:link w:val="Footer"/>
    <w:rsid w:val="00C61406"/>
    <w:rPr>
      <w:rFonts w:ascii="Arial" w:hAnsi="Arial"/>
      <w:b/>
      <w:szCs w:val="24"/>
    </w:rPr>
  </w:style>
  <w:style w:type="character" w:customStyle="1" w:styleId="EndofPolicyChar">
    <w:name w:val="End of Policy Char"/>
    <w:link w:val="EndofPolicy"/>
    <w:rsid w:val="006C5B26"/>
    <w:rPr>
      <w:rFonts w:ascii="Arial" w:hAnsi="Arial" w:cs="Arial"/>
      <w:b/>
    </w:rPr>
  </w:style>
  <w:style w:type="paragraph" w:customStyle="1" w:styleId="HeadeCode">
    <w:name w:val="Heade Code"/>
    <w:basedOn w:val="Normal"/>
    <w:qFormat/>
    <w:rsid w:val="007E0A9A"/>
    <w:pPr>
      <w:tabs>
        <w:tab w:val="right" w:pos="9360"/>
      </w:tabs>
      <w:spacing w:after="240"/>
      <w:jc w:val="both"/>
    </w:pPr>
    <w:rPr>
      <w:rFonts w:ascii="Arial" w:hAnsi="Arial" w:cs="Arial"/>
      <w:bCs/>
      <w:noProof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300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3001"/>
  </w:style>
  <w:style w:type="character" w:styleId="EndnoteReference">
    <w:name w:val="endnote reference"/>
    <w:basedOn w:val="DefaultParagraphFont"/>
    <w:uiPriority w:val="99"/>
    <w:semiHidden/>
    <w:unhideWhenUsed/>
    <w:rsid w:val="005D3001"/>
    <w:rPr>
      <w:vertAlign w:val="superscript"/>
    </w:rPr>
  </w:style>
  <w:style w:type="paragraph" w:customStyle="1" w:styleId="HeaderLink">
    <w:name w:val="Header Link"/>
    <w:link w:val="HeaderLinkChar"/>
    <w:qFormat/>
    <w:rsid w:val="000B4AAF"/>
    <w:pPr>
      <w:outlineLvl w:val="0"/>
    </w:pPr>
    <w:rPr>
      <w:rFonts w:ascii="Arial" w:eastAsia="Calibri" w:hAnsi="Arial"/>
      <w:b/>
      <w:bCs/>
      <w:kern w:val="28"/>
      <w:sz w:val="24"/>
      <w:szCs w:val="32"/>
    </w:rPr>
  </w:style>
  <w:style w:type="character" w:customStyle="1" w:styleId="HeaderLinkChar">
    <w:name w:val="Header Link Char"/>
    <w:basedOn w:val="DefaultParagraphFont"/>
    <w:link w:val="HeaderLink"/>
    <w:rsid w:val="000B4AAF"/>
    <w:rPr>
      <w:rFonts w:ascii="Arial" w:eastAsia="Calibri" w:hAnsi="Arial"/>
      <w:b/>
      <w:bCs/>
      <w:kern w:val="28"/>
      <w:sz w:val="24"/>
      <w:szCs w:val="32"/>
    </w:rPr>
  </w:style>
  <w:style w:type="paragraph" w:customStyle="1" w:styleId="NumBullet">
    <w:name w:val="NumBullet"/>
    <w:basedOn w:val="BodyText"/>
    <w:link w:val="NumBulletChar"/>
    <w:qFormat/>
    <w:rsid w:val="00003009"/>
    <w:pPr>
      <w:tabs>
        <w:tab w:val="clear" w:pos="432"/>
      </w:tabs>
      <w:spacing w:after="120"/>
      <w:ind w:left="360" w:hanging="360"/>
    </w:pPr>
  </w:style>
  <w:style w:type="character" w:customStyle="1" w:styleId="NumBulletChar">
    <w:name w:val="NumBullet Char"/>
    <w:basedOn w:val="BodyTextChar"/>
    <w:link w:val="NumBullet"/>
    <w:rsid w:val="0000300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54FD1-A518-4153-8A8F-09DF876C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12830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ABCE--PROHIBITION ON AIDING SEXUAL ABUSE</vt:lpstr>
    </vt:vector>
  </TitlesOfParts>
  <Company>Dakota Oak, Inc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ABCE--PROHIBITION ON AIDING SEXUAL ABUSE</dc:title>
  <dc:subject/>
  <dc:creator>NDSBA</dc:creator>
  <cp:keywords>ABCE--PROHIBITION ON AIDING SEXUAL ABUSE</cp:keywords>
  <dc:description/>
  <cp:lastModifiedBy>Renae   Duchscherer</cp:lastModifiedBy>
  <cp:revision>3</cp:revision>
  <cp:lastPrinted>2022-12-06T17:04:00Z</cp:lastPrinted>
  <dcterms:created xsi:type="dcterms:W3CDTF">2022-11-08T20:32:00Z</dcterms:created>
  <dcterms:modified xsi:type="dcterms:W3CDTF">2022-12-21T14:37:00Z</dcterms:modified>
</cp:coreProperties>
</file>