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A158" w14:textId="77777777" w:rsidR="00E42BC2" w:rsidRPr="008F0042" w:rsidRDefault="00E53732" w:rsidP="008F0042">
      <w:pPr>
        <w:pStyle w:val="Title"/>
      </w:pPr>
      <w:bookmarkStart w:id="0" w:name="OLE_LINK3"/>
      <w:bookmarkStart w:id="1" w:name="OLE_LINK4"/>
      <w:r>
        <w:t xml:space="preserve">TITLE IX </w:t>
      </w:r>
      <w:r w:rsidR="00633B4B">
        <w:t>SEXUAL</w:t>
      </w:r>
      <w:r w:rsidR="008F0042" w:rsidRPr="008F0042">
        <w:t xml:space="preserve"> HARASSMENT </w:t>
      </w:r>
      <w:r w:rsidR="00836AC3">
        <w:t>GRIEVANCE</w:t>
      </w:r>
      <w:r w:rsidR="005C6047" w:rsidRPr="008F0042">
        <w:t xml:space="preserve"> </w:t>
      </w:r>
      <w:r w:rsidR="008F0042" w:rsidRPr="008F0042">
        <w:t>PROCEDURE</w:t>
      </w:r>
    </w:p>
    <w:p w14:paraId="2AC1A24F" w14:textId="1FC20C95" w:rsidR="008F0042" w:rsidRPr="008F0042" w:rsidRDefault="008F0042" w:rsidP="008F0042">
      <w:pPr>
        <w:pStyle w:val="Paragraph"/>
      </w:pPr>
      <w:r w:rsidRPr="008F0042">
        <w:t xml:space="preserve">The following procedure is designed to resolve </w:t>
      </w:r>
      <w:r w:rsidR="00E53732">
        <w:t>s</w:t>
      </w:r>
      <w:r w:rsidR="00633B4B">
        <w:t>exual</w:t>
      </w:r>
      <w:r w:rsidR="00633B4B" w:rsidRPr="008F0042">
        <w:t xml:space="preserve"> harassment</w:t>
      </w:r>
      <w:r w:rsidRPr="008F0042">
        <w:t xml:space="preserve"> </w:t>
      </w:r>
      <w:r w:rsidR="00836AC3">
        <w:t>grievances</w:t>
      </w:r>
      <w:r w:rsidRPr="008F0042">
        <w:t xml:space="preserve"> by and against </w:t>
      </w:r>
      <w:r w:rsidR="005C6047">
        <w:t xml:space="preserve">staff, </w:t>
      </w:r>
      <w:r w:rsidRPr="008F0042">
        <w:t xml:space="preserve">students, parents, and third parties, as described in board policy, in a prompt and equitable manner.  </w:t>
      </w:r>
      <w:r w:rsidR="00A47FEB">
        <w:t xml:space="preserve">In accordance with Title IX of the Education Amendments Act of 1972, the </w:t>
      </w:r>
      <w:r w:rsidR="00891F59">
        <w:t>Unit</w:t>
      </w:r>
      <w:r w:rsidR="00A47FEB">
        <w:t xml:space="preserve"> prohibits discrimination on the </w:t>
      </w:r>
      <w:r w:rsidR="004432A4">
        <w:t>basis of sex</w:t>
      </w:r>
      <w:r w:rsidR="00836AC3">
        <w:t>, including sexual harassment,</w:t>
      </w:r>
      <w:r w:rsidR="004432A4">
        <w:t xml:space="preserve"> in any </w:t>
      </w:r>
      <w:r w:rsidR="00891F59">
        <w:t>unit</w:t>
      </w:r>
      <w:r w:rsidR="004432A4">
        <w:t xml:space="preserve"> </w:t>
      </w:r>
      <w:r w:rsidR="00A47FEB">
        <w:t>education progr</w:t>
      </w:r>
      <w:r w:rsidR="004432A4">
        <w:t>am</w:t>
      </w:r>
      <w:r w:rsidR="00A47FEB">
        <w:t xml:space="preserve"> </w:t>
      </w:r>
      <w:r w:rsidR="004432A4">
        <w:t>or activity.</w:t>
      </w:r>
      <w:r w:rsidR="00A47FEB">
        <w:t xml:space="preserve"> </w:t>
      </w:r>
      <w:r w:rsidR="00777A83">
        <w:t xml:space="preserve">The </w:t>
      </w:r>
      <w:r w:rsidR="00891F59">
        <w:t>Uni</w:t>
      </w:r>
      <w:r w:rsidR="00777A83">
        <w:t xml:space="preserve">t shall respond when sexual harassment occurs in the </w:t>
      </w:r>
      <w:r w:rsidR="00891F59">
        <w:t>Unit</w:t>
      </w:r>
      <w:r w:rsidR="00777A83">
        <w:t>’s education</w:t>
      </w:r>
      <w:r w:rsidR="00836AC3">
        <w:t xml:space="preserve"> program or activity </w:t>
      </w:r>
      <w:r w:rsidR="00777A83">
        <w:t xml:space="preserve">against a person in the United States.  </w:t>
      </w:r>
      <w:r w:rsidRPr="008F0042">
        <w:t xml:space="preserve">The procedure contained in this regulation supersedes the </w:t>
      </w:r>
      <w:r w:rsidR="00891F59">
        <w:t>Unit</w:t>
      </w:r>
      <w:r w:rsidRPr="008F0042">
        <w:t>’s policies regarding complaints about personnel and bullying.</w:t>
      </w:r>
    </w:p>
    <w:p w14:paraId="617C758E" w14:textId="77777777" w:rsidR="00E53732" w:rsidRDefault="00E53732" w:rsidP="008F0042">
      <w:pPr>
        <w:pStyle w:val="Heading1"/>
      </w:pPr>
      <w:r>
        <w:t>Definitions</w:t>
      </w:r>
    </w:p>
    <w:p w14:paraId="7EB6C603" w14:textId="522A2B71" w:rsidR="00DF3E5B" w:rsidRPr="000C3C8F" w:rsidRDefault="00DF3E5B" w:rsidP="000C3C8F">
      <w:pPr>
        <w:pStyle w:val="BulletList"/>
      </w:pPr>
      <w:r w:rsidRPr="000C3C8F">
        <w:rPr>
          <w:i/>
          <w:iCs/>
        </w:rPr>
        <w:t>Actual knowledge</w:t>
      </w:r>
      <w:r w:rsidRPr="000C3C8F">
        <w:t xml:space="preserve"> means notice of sexual harassment is given to the Title IX Coordinator, an official with authority to institute corrective measures, or any elementary or secondary school employee.</w:t>
      </w:r>
      <w:r w:rsidR="00005AE2" w:rsidRPr="000C3C8F">
        <w:t xml:space="preserve">  When the</w:t>
      </w:r>
      <w:r w:rsidR="00891F59">
        <w:t xml:space="preserve"> Unit</w:t>
      </w:r>
      <w:r w:rsidR="00005AE2" w:rsidRPr="000C3C8F">
        <w:t xml:space="preserve"> has actual knowledge of alleged sexual harassment in a </w:t>
      </w:r>
      <w:r w:rsidR="00891F59">
        <w:t>Unit</w:t>
      </w:r>
      <w:r w:rsidR="00005AE2" w:rsidRPr="000C3C8F">
        <w:t xml:space="preserve"> education program or activity, Title IX requires the </w:t>
      </w:r>
      <w:r w:rsidR="00891F59">
        <w:t>Unit</w:t>
      </w:r>
      <w:r w:rsidR="00005AE2" w:rsidRPr="000C3C8F">
        <w:t xml:space="preserve"> to respond in a manner that is not clearly unreasonable in light of the known circumstances.</w:t>
      </w:r>
    </w:p>
    <w:p w14:paraId="44D763D7" w14:textId="77777777" w:rsidR="00E53732" w:rsidRPr="000C3C8F" w:rsidRDefault="00E53732" w:rsidP="000C3C8F">
      <w:pPr>
        <w:pStyle w:val="BulletList"/>
      </w:pPr>
      <w:r w:rsidRPr="000C3C8F">
        <w:rPr>
          <w:i/>
          <w:iCs/>
        </w:rPr>
        <w:t xml:space="preserve">Complainant </w:t>
      </w:r>
      <w:r w:rsidRPr="000C3C8F">
        <w:t>is an individual who is alleged to be the victim of conduct that could constitute sex harassment.</w:t>
      </w:r>
    </w:p>
    <w:p w14:paraId="161E0799" w14:textId="00B4A022" w:rsidR="009C4DE7" w:rsidRPr="000C3C8F" w:rsidRDefault="009C4DE7" w:rsidP="000C3C8F">
      <w:pPr>
        <w:pStyle w:val="BulletList"/>
      </w:pPr>
      <w:r w:rsidRPr="000C3C8F">
        <w:rPr>
          <w:i/>
          <w:iCs/>
        </w:rPr>
        <w:t>Document filed by a complainant</w:t>
      </w:r>
      <w:r w:rsidRPr="000C3C8F">
        <w:t xml:space="preserve"> is a document or electronic submission (such as by e-mail or through an online portal provided for this purpose by the </w:t>
      </w:r>
      <w:r w:rsidR="00891F59">
        <w:t>Unit</w:t>
      </w:r>
      <w:r w:rsidRPr="000C3C8F">
        <w:t>) that contains the complainant’s physical or digital signature, or otherwise indicates that the complainant is the person filing the formal complaint.</w:t>
      </w:r>
    </w:p>
    <w:p w14:paraId="19163FEB" w14:textId="6E283D8D" w:rsidR="009C4DE7" w:rsidRPr="000C3C8F" w:rsidRDefault="009C4DE7" w:rsidP="000C3C8F">
      <w:pPr>
        <w:pStyle w:val="BulletList"/>
      </w:pPr>
      <w:r w:rsidRPr="000C3C8F">
        <w:rPr>
          <w:i/>
          <w:iCs/>
        </w:rPr>
        <w:t>Education program</w:t>
      </w:r>
      <w:r w:rsidRPr="000C3C8F">
        <w:t xml:space="preserve"> or </w:t>
      </w:r>
      <w:r w:rsidRPr="000C3C8F">
        <w:rPr>
          <w:i/>
          <w:iCs/>
        </w:rPr>
        <w:t>activity</w:t>
      </w:r>
      <w:r w:rsidRPr="000C3C8F">
        <w:t xml:space="preserve"> includes locations, events, or circumstances over which the </w:t>
      </w:r>
      <w:r w:rsidR="00891F59">
        <w:t>Unit</w:t>
      </w:r>
      <w:r w:rsidRPr="000C3C8F">
        <w:t xml:space="preserve"> exercises control over both the respondent and the context over which the sexual harassment occurred.  This includes locations or events that occur on</w:t>
      </w:r>
      <w:r w:rsidR="00C5672D" w:rsidRPr="000C3C8F">
        <w:t xml:space="preserve"> or off school property</w:t>
      </w:r>
      <w:r w:rsidR="00836AC3" w:rsidRPr="000C3C8F">
        <w:t>,</w:t>
      </w:r>
      <w:r w:rsidRPr="000C3C8F">
        <w:t xml:space="preserve"> and may include computer and internet networks, digital platforms, and computer hardware or software owned or operated by, or used in the operations of, the </w:t>
      </w:r>
      <w:r w:rsidR="00891F59">
        <w:t>Unit</w:t>
      </w:r>
      <w:r w:rsidRPr="000C3C8F">
        <w:t>.</w:t>
      </w:r>
    </w:p>
    <w:p w14:paraId="059ECADB" w14:textId="77777777" w:rsidR="00182EA3" w:rsidRPr="000C3C8F" w:rsidRDefault="00182EA3" w:rsidP="000C3C8F">
      <w:pPr>
        <w:pStyle w:val="BulletList"/>
      </w:pPr>
      <w:r w:rsidRPr="000C3C8F">
        <w:rPr>
          <w:i/>
          <w:iCs/>
        </w:rPr>
        <w:t>Exculpatory evidence</w:t>
      </w:r>
      <w:r w:rsidRPr="000C3C8F">
        <w:t xml:space="preserve"> means evidence tending to exonerate a respondent or helps establish their innocence</w:t>
      </w:r>
      <w:r w:rsidR="00836AC3" w:rsidRPr="000C3C8F">
        <w:t xml:space="preserve"> of the conduct alleged</w:t>
      </w:r>
      <w:r w:rsidRPr="000C3C8F">
        <w:t>.</w:t>
      </w:r>
    </w:p>
    <w:p w14:paraId="37D8D4AD" w14:textId="77777777" w:rsidR="00E53732" w:rsidRPr="000C3C8F" w:rsidRDefault="00E53732" w:rsidP="000C3C8F">
      <w:pPr>
        <w:pStyle w:val="BulletList"/>
      </w:pPr>
      <w:r w:rsidRPr="000C3C8F">
        <w:rPr>
          <w:i/>
          <w:iCs/>
        </w:rPr>
        <w:t>Formal Complaint</w:t>
      </w:r>
      <w:r w:rsidRPr="000C3C8F">
        <w:t xml:space="preserve"> is a document filed by a complainant or signed by the Title IX Coordinator alleging sexual harassment against a respondent and requesting that the school investigate the allegation of sexual harassment.</w:t>
      </w:r>
    </w:p>
    <w:p w14:paraId="1463D5A1" w14:textId="0F4ADB8C" w:rsidR="009C4DE7" w:rsidRPr="000C3C8F" w:rsidRDefault="009C4DE7" w:rsidP="000C3C8F">
      <w:pPr>
        <w:pStyle w:val="BulletList"/>
      </w:pPr>
      <w:r w:rsidRPr="000C3C8F">
        <w:rPr>
          <w:i/>
          <w:iCs/>
        </w:rPr>
        <w:t>Inculpatory evidence</w:t>
      </w:r>
      <w:r w:rsidRPr="000C3C8F">
        <w:t xml:space="preserve"> means evidence that shows, or tends to show, a person's involvement in an act, or</w:t>
      </w:r>
      <w:r w:rsidR="000C3C8F">
        <w:t xml:space="preserve"> </w:t>
      </w:r>
      <w:r w:rsidRPr="000C3C8F">
        <w:t>evidence</w:t>
      </w:r>
      <w:r w:rsidR="000C3C8F">
        <w:t xml:space="preserve"> </w:t>
      </w:r>
      <w:r w:rsidRPr="000C3C8F">
        <w:t>that can establish guilt</w:t>
      </w:r>
      <w:r w:rsidR="00836AC3" w:rsidRPr="000C3C8F">
        <w:t xml:space="preserve"> of the conduct alleged</w:t>
      </w:r>
      <w:r w:rsidRPr="000C3C8F">
        <w:t>.</w:t>
      </w:r>
    </w:p>
    <w:p w14:paraId="550740BA" w14:textId="77777777" w:rsidR="00E53732" w:rsidRPr="000C3C8F" w:rsidRDefault="009C4DE7" w:rsidP="000C3C8F">
      <w:pPr>
        <w:pStyle w:val="BulletList"/>
      </w:pPr>
      <w:r w:rsidRPr="000C3C8F">
        <w:rPr>
          <w:i/>
          <w:iCs/>
        </w:rPr>
        <w:t>Respondent</w:t>
      </w:r>
      <w:r w:rsidRPr="000C3C8F">
        <w:t xml:space="preserve"> is an individual who has been reported to be the perpetrator of conduct that could constitute sexual harassment.</w:t>
      </w:r>
    </w:p>
    <w:p w14:paraId="124B051A" w14:textId="3838E0E7" w:rsidR="00C5672D" w:rsidRPr="000C3C8F" w:rsidRDefault="00C5672D" w:rsidP="000C3C8F">
      <w:pPr>
        <w:pStyle w:val="BulletList"/>
      </w:pPr>
      <w:r w:rsidRPr="000C3C8F">
        <w:rPr>
          <w:i/>
          <w:iCs/>
        </w:rPr>
        <w:t>School property</w:t>
      </w:r>
      <w:r w:rsidRPr="000C3C8F">
        <w:t xml:space="preserve"> is defined in NDCC 15.1-19-10(6)(b) as all land within the perimeter of the school site and all school buildings, structures, facilities, and school vehicles, whether owned or leased by a school </w:t>
      </w:r>
      <w:r w:rsidR="00891F59">
        <w:t>Unit</w:t>
      </w:r>
      <w:r w:rsidRPr="000C3C8F">
        <w:t>, and the site of any school-sponsored event or activity.</w:t>
      </w:r>
    </w:p>
    <w:p w14:paraId="630F6EA4" w14:textId="77777777" w:rsidR="00AF7A86" w:rsidRPr="000C3C8F" w:rsidRDefault="00AF7A86" w:rsidP="00A239EF">
      <w:pPr>
        <w:pStyle w:val="BulletList"/>
        <w:spacing w:after="0"/>
      </w:pPr>
      <w:r w:rsidRPr="000C3C8F">
        <w:rPr>
          <w:i/>
          <w:iCs/>
        </w:rPr>
        <w:t>Sexual harassment</w:t>
      </w:r>
      <w:r w:rsidRPr="000C3C8F">
        <w:t xml:space="preserve"> is a form of harassment based on sex. It is defined as unwelcome sexual advances, requests for sexual favors, and/or other verbal, written, or physical conduct or communication of a sexual nature</w:t>
      </w:r>
      <w:r w:rsidR="003E2E3A" w:rsidRPr="000C3C8F">
        <w:t>,</w:t>
      </w:r>
      <w:r w:rsidRPr="000C3C8F">
        <w:t xml:space="preserve"> that:</w:t>
      </w:r>
    </w:p>
    <w:p w14:paraId="62146C42" w14:textId="77777777" w:rsidR="00AF7A86" w:rsidRPr="000C3C8F" w:rsidRDefault="00ED4097" w:rsidP="00DF2204">
      <w:pPr>
        <w:pStyle w:val="letterBullet"/>
        <w:spacing w:after="120"/>
        <w:ind w:left="1440" w:hanging="720"/>
      </w:pPr>
      <w:r w:rsidRPr="000C3C8F">
        <w:t>Constitutes</w:t>
      </w:r>
      <w:r w:rsidR="00AF7A86" w:rsidRPr="000C3C8F">
        <w:t xml:space="preserve"> quid pro quo harassment, meaning submission to such conduct or communication is made a term or condition, either explicitly or implicitly, of the basis for employment decisions or educational decisions or benefits for students (e</w:t>
      </w:r>
      <w:r w:rsidR="003E2E3A" w:rsidRPr="000C3C8F">
        <w:t>.g., receiving a grade);</w:t>
      </w:r>
    </w:p>
    <w:p w14:paraId="448A0248" w14:textId="45DB4486" w:rsidR="00AF7A86" w:rsidRPr="000C3C8F" w:rsidRDefault="00AF7A86" w:rsidP="00DF2204">
      <w:pPr>
        <w:pStyle w:val="letterBullet"/>
        <w:spacing w:after="120"/>
        <w:ind w:left="1440" w:hanging="720"/>
      </w:pPr>
      <w:r w:rsidRPr="000C3C8F">
        <w:t>Is so severe, pervasive, and objectively offensive that it effectively denies a p</w:t>
      </w:r>
      <w:r w:rsidR="003E2E3A" w:rsidRPr="000C3C8F">
        <w:t xml:space="preserve">erson equal access to </w:t>
      </w:r>
      <w:r w:rsidR="00ED4097" w:rsidRPr="000C3C8F">
        <w:t xml:space="preserve">the </w:t>
      </w:r>
      <w:r w:rsidR="00891F59">
        <w:t>Unit</w:t>
      </w:r>
      <w:r w:rsidR="00ED4097" w:rsidRPr="000C3C8F">
        <w:t>’s education program or activity</w:t>
      </w:r>
      <w:r w:rsidR="003E2E3A" w:rsidRPr="000C3C8F">
        <w:t>; or</w:t>
      </w:r>
    </w:p>
    <w:p w14:paraId="7D8669FB" w14:textId="77777777" w:rsidR="00AF7A86" w:rsidRPr="000C3C8F" w:rsidRDefault="00AF7A86" w:rsidP="000C3C8F">
      <w:pPr>
        <w:pStyle w:val="letterBullet"/>
        <w:spacing w:after="120"/>
        <w:ind w:left="1440" w:hanging="720"/>
      </w:pPr>
      <w:r w:rsidRPr="000C3C8F">
        <w:t>Constitutes sexu</w:t>
      </w:r>
      <w:r w:rsidR="003E2E3A" w:rsidRPr="000C3C8F">
        <w:t>al assault</w:t>
      </w:r>
      <w:r w:rsidRPr="000C3C8F">
        <w:t xml:space="preserve">, dating violence, domestic violence, or stalking as </w:t>
      </w:r>
      <w:r w:rsidR="00ED4097" w:rsidRPr="000C3C8F">
        <w:t>those offen</w:t>
      </w:r>
      <w:r w:rsidR="00937565" w:rsidRPr="000C3C8F">
        <w:t>s</w:t>
      </w:r>
      <w:r w:rsidR="00ED4097" w:rsidRPr="000C3C8F">
        <w:t xml:space="preserve">es are </w:t>
      </w:r>
      <w:r w:rsidRPr="000C3C8F">
        <w:t xml:space="preserve">defined in the </w:t>
      </w:r>
      <w:r w:rsidR="00ED4097" w:rsidRPr="000C3C8F">
        <w:t xml:space="preserve">Clery Act, 20 U.S.C. § 1092(f) and the </w:t>
      </w:r>
      <w:r w:rsidRPr="000C3C8F">
        <w:t>Violence Against Women Act</w:t>
      </w:r>
      <w:r w:rsidR="00ED4097" w:rsidRPr="000C3C8F">
        <w:t>, 34 U.S.C. § 12291(a)</w:t>
      </w:r>
      <w:r w:rsidR="00836AC3" w:rsidRPr="000C3C8F">
        <w:t>.</w:t>
      </w:r>
    </w:p>
    <w:p w14:paraId="289CBC9E" w14:textId="17EBA143" w:rsidR="00A51AE9" w:rsidRPr="000C3C8F" w:rsidRDefault="00A51AE9" w:rsidP="00A239EF">
      <w:pPr>
        <w:pStyle w:val="BulletList"/>
        <w:spacing w:after="0"/>
      </w:pPr>
      <w:r w:rsidRPr="000C3C8F">
        <w:rPr>
          <w:i/>
          <w:iCs/>
        </w:rPr>
        <w:t>Sexual harassment examples</w:t>
      </w:r>
      <w:r w:rsidRPr="000C3C8F">
        <w:t xml:space="preserve"> </w:t>
      </w:r>
      <w:r w:rsidR="00C262CE">
        <w:t xml:space="preserve">may </w:t>
      </w:r>
      <w:r w:rsidRPr="000C3C8F">
        <w:t>include, but are not limited to, the following:</w:t>
      </w:r>
    </w:p>
    <w:p w14:paraId="1FFCCBBF" w14:textId="77777777" w:rsidR="00A51AE9" w:rsidRPr="000C3C8F" w:rsidRDefault="00A51AE9" w:rsidP="00A239EF">
      <w:pPr>
        <w:pStyle w:val="letterBullet"/>
        <w:numPr>
          <w:ilvl w:val="0"/>
          <w:numId w:val="4"/>
        </w:numPr>
        <w:ind w:left="1440" w:hanging="720"/>
      </w:pPr>
      <w:r w:rsidRPr="000C3C8F">
        <w:t>Sexual or "dirty" jokes;</w:t>
      </w:r>
    </w:p>
    <w:p w14:paraId="402129C4" w14:textId="77777777" w:rsidR="00A51AE9" w:rsidRPr="000C3C8F" w:rsidRDefault="00A51AE9" w:rsidP="00A239EF">
      <w:pPr>
        <w:pStyle w:val="letterBullet"/>
        <w:numPr>
          <w:ilvl w:val="0"/>
          <w:numId w:val="4"/>
        </w:numPr>
        <w:ind w:left="1440" w:hanging="720"/>
      </w:pPr>
      <w:r w:rsidRPr="000C3C8F">
        <w:t>Sexual advances;</w:t>
      </w:r>
    </w:p>
    <w:p w14:paraId="534C13B4" w14:textId="77777777" w:rsidR="00A51AE9" w:rsidRPr="000C3C8F" w:rsidRDefault="00A51AE9" w:rsidP="00A239EF">
      <w:pPr>
        <w:pStyle w:val="letterBullet"/>
        <w:numPr>
          <w:ilvl w:val="0"/>
          <w:numId w:val="4"/>
        </w:numPr>
        <w:ind w:left="1440" w:hanging="720"/>
      </w:pPr>
      <w:r w:rsidRPr="000C3C8F">
        <w:t>Pressure for sexual favors;</w:t>
      </w:r>
    </w:p>
    <w:p w14:paraId="289CAF84" w14:textId="77777777" w:rsidR="00A51AE9" w:rsidRPr="000C3C8F" w:rsidRDefault="00A51AE9" w:rsidP="00A239EF">
      <w:pPr>
        <w:pStyle w:val="letterBullet"/>
        <w:numPr>
          <w:ilvl w:val="0"/>
          <w:numId w:val="4"/>
        </w:numPr>
        <w:ind w:left="1440" w:hanging="720"/>
      </w:pPr>
      <w:r w:rsidRPr="000C3C8F">
        <w:t>Unwelcome touching, such as patting, pinching, or constant brushing against another's body;</w:t>
      </w:r>
    </w:p>
    <w:p w14:paraId="1E062D9A" w14:textId="77777777" w:rsidR="00A51AE9" w:rsidRPr="000C3C8F" w:rsidRDefault="00A51AE9" w:rsidP="00A239EF">
      <w:pPr>
        <w:pStyle w:val="letterBullet"/>
        <w:numPr>
          <w:ilvl w:val="0"/>
          <w:numId w:val="4"/>
        </w:numPr>
        <w:ind w:left="1440" w:hanging="720"/>
      </w:pPr>
      <w:r w:rsidRPr="000C3C8F">
        <w:t>Displaying or distributing of sexually explicit drawings, pictures, and written materials;</w:t>
      </w:r>
    </w:p>
    <w:p w14:paraId="6E102DD5" w14:textId="77777777" w:rsidR="00A51AE9" w:rsidRPr="000C3C8F" w:rsidRDefault="00A51AE9" w:rsidP="00A239EF">
      <w:pPr>
        <w:pStyle w:val="letterBullet"/>
        <w:numPr>
          <w:ilvl w:val="0"/>
          <w:numId w:val="4"/>
        </w:numPr>
        <w:ind w:left="1440" w:hanging="720"/>
      </w:pPr>
      <w:r w:rsidRPr="000C3C8F">
        <w:t>Graffiti of a sexual nature;</w:t>
      </w:r>
    </w:p>
    <w:p w14:paraId="7DBB29C1" w14:textId="77777777" w:rsidR="00A51AE9" w:rsidRPr="000C3C8F" w:rsidRDefault="00A51AE9" w:rsidP="00A239EF">
      <w:pPr>
        <w:pStyle w:val="letterBullet"/>
        <w:numPr>
          <w:ilvl w:val="0"/>
          <w:numId w:val="4"/>
        </w:numPr>
        <w:ind w:left="1440" w:hanging="720"/>
      </w:pPr>
      <w:r w:rsidRPr="000C3C8F">
        <w:t>Sexual gestures;</w:t>
      </w:r>
    </w:p>
    <w:p w14:paraId="103DC82D" w14:textId="77777777" w:rsidR="00A51AE9" w:rsidRPr="000C3C8F" w:rsidRDefault="00A51AE9" w:rsidP="00A239EF">
      <w:pPr>
        <w:pStyle w:val="letterBullet"/>
        <w:numPr>
          <w:ilvl w:val="0"/>
          <w:numId w:val="4"/>
        </w:numPr>
        <w:ind w:left="1440" w:hanging="720"/>
      </w:pPr>
      <w:r w:rsidRPr="000C3C8F">
        <w:t>Touching oneself sexually or talking about one's sexual activity in front of others;</w:t>
      </w:r>
    </w:p>
    <w:p w14:paraId="2D3531F4" w14:textId="77777777" w:rsidR="00A51AE9" w:rsidRPr="000C3C8F" w:rsidRDefault="00A51AE9" w:rsidP="00A239EF">
      <w:pPr>
        <w:pStyle w:val="letterBullet"/>
        <w:numPr>
          <w:ilvl w:val="0"/>
          <w:numId w:val="4"/>
        </w:numPr>
        <w:ind w:left="1440" w:hanging="720"/>
      </w:pPr>
      <w:r w:rsidRPr="000C3C8F">
        <w:t>Spreading rumors about or rating other’s sexual activity or performance;</w:t>
      </w:r>
    </w:p>
    <w:p w14:paraId="6CCA1BAE" w14:textId="77777777" w:rsidR="00A51AE9" w:rsidRPr="000C3C8F" w:rsidRDefault="00A51AE9" w:rsidP="00A239EF">
      <w:pPr>
        <w:pStyle w:val="letterBullet"/>
        <w:numPr>
          <w:ilvl w:val="0"/>
          <w:numId w:val="4"/>
        </w:numPr>
        <w:ind w:left="1440" w:hanging="720"/>
      </w:pPr>
      <w:r w:rsidRPr="000C3C8F">
        <w:t>Remarks about an individual’s sexual orientation; and</w:t>
      </w:r>
    </w:p>
    <w:p w14:paraId="2094CB56" w14:textId="77777777" w:rsidR="00A51AE9" w:rsidRPr="000C3C8F" w:rsidRDefault="00A51AE9" w:rsidP="00B84E6E">
      <w:pPr>
        <w:pStyle w:val="letterBullet"/>
        <w:numPr>
          <w:ilvl w:val="0"/>
          <w:numId w:val="4"/>
        </w:numPr>
        <w:spacing w:after="120"/>
        <w:ind w:left="1440" w:hanging="720"/>
      </w:pPr>
      <w:r w:rsidRPr="000C3C8F">
        <w:t>Sexual violence, including rape, sexual battery, sexual abuse, and sexual coercion.</w:t>
      </w:r>
    </w:p>
    <w:p w14:paraId="07497617" w14:textId="77777777" w:rsidR="009C4DE7" w:rsidRPr="000C3C8F" w:rsidRDefault="009C4DE7" w:rsidP="000C3C8F">
      <w:pPr>
        <w:pStyle w:val="BulletList"/>
        <w:spacing w:after="240"/>
      </w:pPr>
      <w:r w:rsidRPr="000C3C8F">
        <w:rPr>
          <w:i/>
          <w:iCs/>
        </w:rPr>
        <w:t>Supportive Measures</w:t>
      </w:r>
      <w:r w:rsidRPr="000C3C8F">
        <w:t xml:space="preserve"> are individualized services reasonably available that are non-pu</w:t>
      </w:r>
      <w:r w:rsidR="00836AC3" w:rsidRPr="000C3C8F">
        <w:t xml:space="preserve">nitive or </w:t>
      </w:r>
      <w:r w:rsidRPr="000C3C8F">
        <w:t>non-disciplinary</w:t>
      </w:r>
      <w:r w:rsidR="00836AC3" w:rsidRPr="000C3C8F">
        <w:t xml:space="preserve"> in nature</w:t>
      </w:r>
      <w:r w:rsidRPr="000C3C8F">
        <w:t>, and not unreasonably burdensome to the other party while designed to ensure equal educational access, protect safety, or deter sexual harassment.  Examples of possible supportive measures include, but are not necessarily limited to, counseling, extensions of deadlines or course-related adjustments, modifications of work or class schedules,</w:t>
      </w:r>
      <w:r w:rsidR="00710AE4" w:rsidRPr="000C3C8F">
        <w:t xml:space="preserve"> a safety plan,</w:t>
      </w:r>
      <w:r w:rsidRPr="000C3C8F">
        <w:t xml:space="preserve"> </w:t>
      </w:r>
      <w:r w:rsidR="007D77A5" w:rsidRPr="000C3C8F">
        <w:t>school</w:t>
      </w:r>
      <w:r w:rsidR="00C5672D" w:rsidRPr="000C3C8F">
        <w:t xml:space="preserve"> </w:t>
      </w:r>
      <w:r w:rsidRPr="000C3C8F">
        <w:t xml:space="preserve">escort services, mutual contact restrictions, changes in work locations, leaves of absence, increased security and monitoring of certain areas </w:t>
      </w:r>
      <w:r w:rsidR="00C5672D" w:rsidRPr="000C3C8F">
        <w:t>on school property</w:t>
      </w:r>
      <w:r w:rsidRPr="000C3C8F">
        <w:t>, and other similar measures.</w:t>
      </w:r>
    </w:p>
    <w:p w14:paraId="28440DA6" w14:textId="0C119363" w:rsidR="008F0042" w:rsidRPr="008F0042" w:rsidRDefault="008F0042" w:rsidP="008F0042">
      <w:pPr>
        <w:pStyle w:val="Heading1"/>
      </w:pPr>
      <w:r w:rsidRPr="008F0042">
        <w:t>Reta</w:t>
      </w:r>
      <w:r>
        <w:t>liation Prohibited</w:t>
      </w:r>
    </w:p>
    <w:p w14:paraId="55CC631C" w14:textId="4FFB57A9" w:rsidR="008F0042" w:rsidRPr="008F0042" w:rsidRDefault="009A666B" w:rsidP="008F0042">
      <w:pPr>
        <w:pStyle w:val="Paragraph"/>
      </w:pPr>
      <w:r>
        <w:t xml:space="preserve">The </w:t>
      </w:r>
      <w:r w:rsidR="00891F59">
        <w:t>Unit</w:t>
      </w:r>
      <w:r>
        <w:t xml:space="preserve"> prohibits any person from intimidating, threatening, coercing, or discriminating against any individual</w:t>
      </w:r>
      <w:r w:rsidR="0021345A">
        <w:t xml:space="preserve">, including complainants, respondents, and witnesses, </w:t>
      </w:r>
      <w:r>
        <w:t>for the purpose of interfering with any right or privilege secured by Title IX including but not limited to making a report or formal complaint of sexual harassment or participating</w:t>
      </w:r>
      <w:r w:rsidR="0021345A">
        <w:t xml:space="preserve"> (or refusing to participate)</w:t>
      </w:r>
      <w:r>
        <w:t xml:space="preserve"> in a sexual harassment complaint investigation.  This includes instance</w:t>
      </w:r>
      <w:r w:rsidR="00836AC3">
        <w:t>s</w:t>
      </w:r>
      <w:r>
        <w:t xml:space="preserve"> when a complaint is not substantiated. </w:t>
      </w:r>
      <w:r w:rsidR="000C3C8F">
        <w:t xml:space="preserve"> </w:t>
      </w:r>
      <w:r w:rsidR="008F0042" w:rsidRPr="008F0042">
        <w:t xml:space="preserve">The consequences for violating this prohibition are delineated in </w:t>
      </w:r>
      <w:r w:rsidR="000C3C8F">
        <w:t>b</w:t>
      </w:r>
      <w:r w:rsidR="00BD5064">
        <w:t xml:space="preserve">oard policy AAC, </w:t>
      </w:r>
      <w:r w:rsidR="008F0042" w:rsidRPr="008F0042">
        <w:t>Nondiscrimination and Anti-Harassment</w:t>
      </w:r>
      <w:r w:rsidR="00BD5064">
        <w:t xml:space="preserve"> Policy</w:t>
      </w:r>
      <w:r w:rsidR="008F0042" w:rsidRPr="008F0042">
        <w:t>.</w:t>
      </w:r>
      <w:r w:rsidR="00C262CE">
        <w:t xml:space="preserve">  Complaints of retaliation </w:t>
      </w:r>
      <w:r w:rsidR="00862EA4">
        <w:t>shall</w:t>
      </w:r>
      <w:r w:rsidR="00C262CE">
        <w:t xml:space="preserve"> be processed under board regulation AAC-BR1, Discrimination and Harassment Grievance Procedure.</w:t>
      </w:r>
    </w:p>
    <w:p w14:paraId="1D02FFCB" w14:textId="77777777" w:rsidR="008F0042" w:rsidRPr="008F0042" w:rsidRDefault="00FC10CB" w:rsidP="008F0042">
      <w:pPr>
        <w:pStyle w:val="Heading1"/>
      </w:pPr>
      <w:r>
        <w:t>Reports of Sexual Harassment</w:t>
      </w:r>
    </w:p>
    <w:p w14:paraId="171BC153" w14:textId="72488A30" w:rsidR="008F0042" w:rsidRPr="008F0042" w:rsidRDefault="00633B4B" w:rsidP="008F0042">
      <w:pPr>
        <w:pStyle w:val="Paragraph"/>
      </w:pPr>
      <w:r>
        <w:t xml:space="preserve">Any person may report sexual harassment, whether or not the person reporting is the person alleged to be the victim of conduct that could constitute sexual harassment.  </w:t>
      </w:r>
      <w:r w:rsidR="008F0042" w:rsidRPr="008F0042">
        <w:t xml:space="preserve">A </w:t>
      </w:r>
      <w:r w:rsidR="00836AC3">
        <w:t xml:space="preserve">report </w:t>
      </w:r>
      <w:r w:rsidR="008F0042" w:rsidRPr="008F0042">
        <w:t xml:space="preserve">may be filed </w:t>
      </w:r>
      <w:r>
        <w:t xml:space="preserve">in person, by mail, by telephone, by email, </w:t>
      </w:r>
      <w:r w:rsidR="00C5672D">
        <w:t xml:space="preserve">or by any additional method </w:t>
      </w:r>
      <w:r w:rsidR="00F06882">
        <w:t>provided</w:t>
      </w:r>
      <w:r w:rsidR="00C5672D">
        <w:t xml:space="preserve"> by the </w:t>
      </w:r>
      <w:r w:rsidR="00891F59">
        <w:t>Unit</w:t>
      </w:r>
      <w:r w:rsidR="00C5672D">
        <w:t xml:space="preserve"> </w:t>
      </w:r>
      <w:r>
        <w:t xml:space="preserve">using the contact information for the Title IX Coordinator as set forth in </w:t>
      </w:r>
      <w:r w:rsidR="00BD5064">
        <w:t>policy</w:t>
      </w:r>
      <w:r>
        <w:t xml:space="preserve"> AAC.  A</w:t>
      </w:r>
      <w:r w:rsidR="00836AC3">
        <w:t xml:space="preserve"> report</w:t>
      </w:r>
      <w:r>
        <w:t xml:space="preserve"> may be made at any time, including during non-business hours, by using the telephone number or email address, or by mail to the office address, listed for the Title IX Coordinator.</w:t>
      </w:r>
      <w:r w:rsidR="008F0042" w:rsidRPr="008F0042">
        <w:t xml:space="preserve"> </w:t>
      </w:r>
      <w:r>
        <w:t xml:space="preserve"> A </w:t>
      </w:r>
      <w:r w:rsidR="00836AC3">
        <w:t xml:space="preserve">report </w:t>
      </w:r>
      <w:r w:rsidR="008F0042" w:rsidRPr="008F0042">
        <w:t xml:space="preserve">should be filed as soon as possible after the </w:t>
      </w:r>
      <w:r>
        <w:t xml:space="preserve">alleged </w:t>
      </w:r>
      <w:r w:rsidR="00836AC3">
        <w:t>harassment</w:t>
      </w:r>
      <w:r w:rsidR="008F0042" w:rsidRPr="008F0042">
        <w:t xml:space="preserve"> or retaliation allegedly occurred.  Delays in filing a </w:t>
      </w:r>
      <w:r w:rsidR="00836AC3">
        <w:t xml:space="preserve">report </w:t>
      </w:r>
      <w:r w:rsidR="008F0042" w:rsidRPr="008F0042">
        <w:t>may cause difficulties in the investigation.</w:t>
      </w:r>
      <w:r w:rsidR="00005AE2">
        <w:t xml:space="preserve">  Anonymous reports are permitted; however, the </w:t>
      </w:r>
      <w:r w:rsidR="00891F59">
        <w:t>Unit</w:t>
      </w:r>
      <w:r w:rsidR="00005AE2">
        <w:t>’s ability to offer supportive measures to a complainant, or to consider whether to initiate a grievance process against the respondent, will be affected by whether the report of sexual harassment disclosed the identity of the complainant or respondent.</w:t>
      </w:r>
    </w:p>
    <w:p w14:paraId="1ED457EF" w14:textId="77777777" w:rsidR="008F0042" w:rsidRPr="008F0042" w:rsidRDefault="008F0042" w:rsidP="008F0042">
      <w:pPr>
        <w:pStyle w:val="Heading1"/>
      </w:pPr>
      <w:r w:rsidRPr="008F0042">
        <w:t xml:space="preserve">With Whom </w:t>
      </w:r>
      <w:r w:rsidR="00005AE2">
        <w:t>Reports of Sexual Harassment</w:t>
      </w:r>
      <w:r w:rsidR="00005AE2" w:rsidRPr="008F0042">
        <w:t xml:space="preserve"> </w:t>
      </w:r>
      <w:r w:rsidRPr="008F0042">
        <w:t>May be Filed</w:t>
      </w:r>
    </w:p>
    <w:p w14:paraId="533E29F0" w14:textId="2DB3375F" w:rsidR="008F0042" w:rsidRDefault="008F0042" w:rsidP="008F0042">
      <w:pPr>
        <w:pStyle w:val="Paragraph"/>
      </w:pPr>
      <w:r w:rsidRPr="008F0042">
        <w:t xml:space="preserve">A </w:t>
      </w:r>
      <w:r w:rsidR="00005AE2">
        <w:t>report of sexual harassment</w:t>
      </w:r>
      <w:r w:rsidR="00005AE2" w:rsidRPr="008F0042">
        <w:t xml:space="preserve"> </w:t>
      </w:r>
      <w:r w:rsidRPr="008F0042">
        <w:t xml:space="preserve">may be filed with </w:t>
      </w:r>
      <w:r w:rsidR="00633B4B">
        <w:t xml:space="preserve">the Title IX Coordinator or with </w:t>
      </w:r>
      <w:r w:rsidRPr="008F0042">
        <w:t xml:space="preserve">any </w:t>
      </w:r>
      <w:r w:rsidR="006F1A2E">
        <w:t>u</w:t>
      </w:r>
      <w:r w:rsidR="00891F59">
        <w:t>nit</w:t>
      </w:r>
      <w:r w:rsidRPr="008F0042">
        <w:t xml:space="preserve"> employee.  </w:t>
      </w:r>
      <w:r w:rsidR="00891F59">
        <w:t>Unit</w:t>
      </w:r>
      <w:r w:rsidRPr="008F0042">
        <w:t xml:space="preserve"> employees are required to report any discrimination or harassment to the </w:t>
      </w:r>
      <w:r w:rsidR="00633B4B">
        <w:t>Title IX Coordinator</w:t>
      </w:r>
      <w:r w:rsidRPr="008F0042">
        <w:t xml:space="preserve"> when they knew (e.g., received a </w:t>
      </w:r>
      <w:r w:rsidR="00836AC3">
        <w:t>report</w:t>
      </w:r>
      <w:r w:rsidRPr="008F0042">
        <w:t xml:space="preserve">, directly observed it) or should have known it was occurring (e.g., overheard students talking about an incident, </w:t>
      </w:r>
      <w:r w:rsidR="00633B4B">
        <w:t>witnessed</w:t>
      </w:r>
      <w:r w:rsidR="00633B4B" w:rsidRPr="008F0042">
        <w:t xml:space="preserve"> </w:t>
      </w:r>
      <w:r w:rsidRPr="008F0042">
        <w:t xml:space="preserve">discriminatory or harassing </w:t>
      </w:r>
      <w:r w:rsidR="00633B4B">
        <w:t>conduct</w:t>
      </w:r>
      <w:r w:rsidRPr="008F0042">
        <w:t xml:space="preserve"> on school property</w:t>
      </w:r>
      <w:r w:rsidR="00633B4B">
        <w:t xml:space="preserve"> or at a school activity</w:t>
      </w:r>
      <w:r w:rsidRPr="008F0042">
        <w:t xml:space="preserve">).  Failure by a </w:t>
      </w:r>
      <w:r w:rsidR="006F1A2E">
        <w:t>u</w:t>
      </w:r>
      <w:r w:rsidR="00891F59">
        <w:t>nit</w:t>
      </w:r>
      <w:r w:rsidRPr="008F0042">
        <w:t xml:space="preserve"> employee to report under this regulation may result in disciplinary action.</w:t>
      </w:r>
    </w:p>
    <w:p w14:paraId="12DBCC49" w14:textId="77777777" w:rsidR="00AF2FFF" w:rsidRPr="008F0042" w:rsidRDefault="00AF2FFF" w:rsidP="00AF2FFF">
      <w:pPr>
        <w:pStyle w:val="Heading1"/>
      </w:pPr>
      <w:r w:rsidRPr="008F0042">
        <w:t>Third-Party Assistance</w:t>
      </w:r>
    </w:p>
    <w:p w14:paraId="1538B5CF" w14:textId="605B1ADC" w:rsidR="00AF2FFF" w:rsidRDefault="00AF2FFF" w:rsidP="00AF2FFF">
      <w:pPr>
        <w:pStyle w:val="Paragraph"/>
      </w:pPr>
      <w:r>
        <w:t>The Title IX Coordinator or other</w:t>
      </w:r>
      <w:r w:rsidRPr="008F0042">
        <w:t xml:space="preserve"> </w:t>
      </w:r>
      <w:r w:rsidR="006F1A2E">
        <w:t>unit</w:t>
      </w:r>
      <w:r w:rsidRPr="008F0042">
        <w:t xml:space="preserve"> official responsible for conducting or overseeing </w:t>
      </w:r>
      <w:r>
        <w:t xml:space="preserve">sexual </w:t>
      </w:r>
      <w:r w:rsidRPr="008F0042">
        <w:t xml:space="preserve">harassment investigations is authorized to receive assistance from the </w:t>
      </w:r>
      <w:r w:rsidR="006F1A2E">
        <w:t>u</w:t>
      </w:r>
      <w:r w:rsidR="00891F59">
        <w:t>nit</w:t>
      </w:r>
      <w:r w:rsidRPr="008F0042">
        <w:t xml:space="preserve">’s legal </w:t>
      </w:r>
      <w:r>
        <w:t>counsel throughout the process.</w:t>
      </w:r>
    </w:p>
    <w:p w14:paraId="3BA37CE6" w14:textId="77777777" w:rsidR="008F0042" w:rsidRPr="008F0042" w:rsidRDefault="001F0FCB" w:rsidP="008F0042">
      <w:pPr>
        <w:pStyle w:val="Heading1"/>
      </w:pPr>
      <w:r>
        <w:t>Responding to Reports of Sexual Harassment</w:t>
      </w:r>
    </w:p>
    <w:p w14:paraId="09FB4DF6" w14:textId="1A5FDA0B" w:rsidR="00633B4B" w:rsidRDefault="008F0042" w:rsidP="008F0042">
      <w:pPr>
        <w:pStyle w:val="Paragraph"/>
      </w:pPr>
      <w:r w:rsidRPr="008F0042">
        <w:t xml:space="preserve">After receiving a </w:t>
      </w:r>
      <w:r w:rsidR="00633B4B">
        <w:t xml:space="preserve">sexual </w:t>
      </w:r>
      <w:r w:rsidRPr="008F0042">
        <w:t xml:space="preserve">harassment </w:t>
      </w:r>
      <w:r w:rsidR="001F0FCB">
        <w:t>report</w:t>
      </w:r>
      <w:r w:rsidRPr="008F0042">
        <w:t xml:space="preserve"> or </w:t>
      </w:r>
      <w:r w:rsidR="00DF3E5B">
        <w:t>having actual</w:t>
      </w:r>
      <w:r w:rsidR="00DF3E5B" w:rsidRPr="008F0042">
        <w:t xml:space="preserve"> </w:t>
      </w:r>
      <w:r w:rsidRPr="008F0042">
        <w:t xml:space="preserve">knowledge of potentially harassing conduct, the </w:t>
      </w:r>
      <w:r w:rsidR="00633B4B">
        <w:t>Title IX C</w:t>
      </w:r>
      <w:r w:rsidRPr="008F0042">
        <w:t>oordinator</w:t>
      </w:r>
      <w:r w:rsidR="0014026F">
        <w:t xml:space="preserve"> </w:t>
      </w:r>
      <w:r w:rsidRPr="008F0042">
        <w:t xml:space="preserve">shall </w:t>
      </w:r>
      <w:r w:rsidR="00633B4B">
        <w:t xml:space="preserve">promptly </w:t>
      </w:r>
      <w:r w:rsidRPr="008F0042">
        <w:t>contact the complainant</w:t>
      </w:r>
      <w:r w:rsidR="00633B4B">
        <w:t xml:space="preserve"> to discuss the availability of supportive measures</w:t>
      </w:r>
      <w:r w:rsidRPr="008F0042">
        <w:t xml:space="preserve">, </w:t>
      </w:r>
      <w:r w:rsidR="00633B4B">
        <w:t>consider the complainant’s wishes with respect to supportive measures, inform the complainant of the availability of supportive measures with or without the filing of a formal complaint, and explain to the complainant the process for filing a formal complaint.</w:t>
      </w:r>
      <w:r w:rsidR="006808BA">
        <w:t xml:space="preserve">  If supportive measures are not provided to </w:t>
      </w:r>
      <w:r w:rsidR="001B378C">
        <w:t xml:space="preserve">or as requested by </w:t>
      </w:r>
      <w:r w:rsidR="006808BA">
        <w:t xml:space="preserve">a complainant, the Title IX Coordinator shall document why supportive measures were not provided and why the lack of supportive measures is not </w:t>
      </w:r>
      <w:r w:rsidR="00832AB6">
        <w:t>clearly unreasonable in light of the known circumstances</w:t>
      </w:r>
      <w:r w:rsidR="006808BA">
        <w:t>.  The Title IX Coordinator shall also promptly contact the respondent, who must also be offered supportive measures.</w:t>
      </w:r>
    </w:p>
    <w:p w14:paraId="08EA9802" w14:textId="3FE79134" w:rsidR="002D7063" w:rsidRDefault="006808BA" w:rsidP="008F0042">
      <w:pPr>
        <w:pStyle w:val="Paragraph"/>
      </w:pPr>
      <w:r>
        <w:t xml:space="preserve">Supportive measures must be designed to preserve the complainant </w:t>
      </w:r>
      <w:r w:rsidR="00C63601">
        <w:t>and respondent</w:t>
      </w:r>
      <w:r w:rsidR="00862EA4">
        <w:t>’</w:t>
      </w:r>
      <w:r w:rsidR="00C63601">
        <w:t xml:space="preserve">s </w:t>
      </w:r>
      <w:r>
        <w:t xml:space="preserve">access to </w:t>
      </w:r>
      <w:r w:rsidR="00C63601">
        <w:t xml:space="preserve">the </w:t>
      </w:r>
      <w:r w:rsidR="00891F59">
        <w:t>Unit</w:t>
      </w:r>
      <w:r w:rsidR="00D65BCF">
        <w:t xml:space="preserve">’s </w:t>
      </w:r>
      <w:r>
        <w:t xml:space="preserve">education </w:t>
      </w:r>
      <w:r w:rsidR="00C63601">
        <w:t>program</w:t>
      </w:r>
      <w:r w:rsidR="00CE201E">
        <w:t>s</w:t>
      </w:r>
      <w:r w:rsidR="00C63601">
        <w:t xml:space="preserve"> or activit</w:t>
      </w:r>
      <w:r w:rsidR="00CE201E">
        <w:t>ies</w:t>
      </w:r>
      <w:r w:rsidR="00C63601">
        <w:t xml:space="preserve"> </w:t>
      </w:r>
      <w:r>
        <w:t xml:space="preserve">without unreasonably burdening the </w:t>
      </w:r>
      <w:r w:rsidR="00C63601">
        <w:t>other party</w:t>
      </w:r>
      <w:r>
        <w:t xml:space="preserve">.  Supportive measures </w:t>
      </w:r>
      <w:r w:rsidR="007F7E0A">
        <w:t>must</w:t>
      </w:r>
      <w:r>
        <w:t xml:space="preserve"> be coordinated by the Title IX Coordinator and kept confidential to the extent reasonably possible.  Supportive measures should be equitably offered to both the complainant and the respondent</w:t>
      </w:r>
      <w:r w:rsidR="00D1509D">
        <w:t xml:space="preserve"> and should be reasonably</w:t>
      </w:r>
      <w:r w:rsidR="000B57ED">
        <w:t xml:space="preserve"> available before or after the filing of a formal complaint or where no formal complaint has been filed</w:t>
      </w:r>
      <w:r>
        <w:t>.</w:t>
      </w:r>
    </w:p>
    <w:p w14:paraId="2AD63CB3" w14:textId="5C032070" w:rsidR="005C5072" w:rsidRDefault="00176BD1" w:rsidP="008F0042">
      <w:pPr>
        <w:pStyle w:val="Paragraph"/>
      </w:pPr>
      <w:r>
        <w:t xml:space="preserve">Disciplinary </w:t>
      </w:r>
      <w:r w:rsidR="00DC183C">
        <w:t>sanctions or other actions that are not supportive measures</w:t>
      </w:r>
      <w:r>
        <w:t xml:space="preserve"> shall not be taken against the respondent unless a formal complaint is filed and an investigation is conducted in accordance wi</w:t>
      </w:r>
      <w:r w:rsidR="002D7063">
        <w:t>th the process set forth herein.</w:t>
      </w:r>
    </w:p>
    <w:p w14:paraId="77E36CCD" w14:textId="1591ED2A" w:rsidR="005C5072" w:rsidRPr="001F0FCB" w:rsidRDefault="005C5072" w:rsidP="001F0FCB">
      <w:pPr>
        <w:pStyle w:val="Paragraph"/>
        <w:spacing w:after="0"/>
        <w:rPr>
          <w:b/>
        </w:rPr>
      </w:pPr>
      <w:r>
        <w:rPr>
          <w:b/>
        </w:rPr>
        <w:t>Emergency Removal</w:t>
      </w:r>
      <w:r w:rsidR="00CB35A7">
        <w:rPr>
          <w:b/>
        </w:rPr>
        <w:t xml:space="preserve"> of the Respondent </w:t>
      </w:r>
    </w:p>
    <w:p w14:paraId="6AD1E324" w14:textId="5EE65B49" w:rsidR="005C5072" w:rsidRDefault="002D7063" w:rsidP="00C5672D">
      <w:pPr>
        <w:pStyle w:val="Paragraph"/>
      </w:pPr>
      <w:r>
        <w:t xml:space="preserve">In the event </w:t>
      </w:r>
      <w:r w:rsidR="00862EA4">
        <w:t xml:space="preserve">a situation arises from the allegations of sexual harassment and </w:t>
      </w:r>
      <w:r>
        <w:t xml:space="preserve">the respondent poses an immediate threat to the physical health or safety of any student or other individual, the </w:t>
      </w:r>
      <w:r w:rsidR="005C5072">
        <w:t>Title IX Coordinator may remove the respondent</w:t>
      </w:r>
      <w:r>
        <w:t xml:space="preserve"> from the </w:t>
      </w:r>
      <w:r w:rsidR="006F1A2E">
        <w:t>district’s/u</w:t>
      </w:r>
      <w:r w:rsidR="00891F59">
        <w:t>nit</w:t>
      </w:r>
      <w:r>
        <w:t>’s education program or activity</w:t>
      </w:r>
      <w:r w:rsidR="005C5072">
        <w:t>,</w:t>
      </w:r>
      <w:r>
        <w:t xml:space="preserve"> </w:t>
      </w:r>
      <w:r w:rsidR="005C5072">
        <w:t>or place the respondent</w:t>
      </w:r>
      <w:r w:rsidR="00866A2A">
        <w:t xml:space="preserve"> on administrative leave </w:t>
      </w:r>
      <w:r>
        <w:t>on an emergency basis, with or without a grievance process pending.</w:t>
      </w:r>
      <w:r w:rsidR="005C5072">
        <w:t xml:space="preserve">  The decision whether to remove the respondent on an emergency basis </w:t>
      </w:r>
      <w:r w:rsidR="00D67C67">
        <w:t xml:space="preserve">may be made at any time during the grievance process, but </w:t>
      </w:r>
      <w:r w:rsidR="005C5072">
        <w:t xml:space="preserve">must </w:t>
      </w:r>
      <w:r w:rsidR="00D67C67">
        <w:t xml:space="preserve">only </w:t>
      </w:r>
      <w:r w:rsidR="005C5072">
        <w:t xml:space="preserve">be made after an individualized, fact-based </w:t>
      </w:r>
      <w:r w:rsidR="001303FE">
        <w:t xml:space="preserve">safety and risk </w:t>
      </w:r>
      <w:r w:rsidR="005C5072">
        <w:t>analysis</w:t>
      </w:r>
      <w:r w:rsidR="00D67C67">
        <w:t>.  An emergency removal decision</w:t>
      </w:r>
      <w:r w:rsidR="005C5072">
        <w:t xml:space="preserve"> may not be based on general assumptions about sex, or research that purports to profile characteristics of sex offense perpetrators, or statistical data about the frequency or infrequency of false or unfounded sexual misconduct allegations.</w:t>
      </w:r>
      <w:r w:rsidR="00836AC3">
        <w:t xml:space="preserve">  Emergency removal decisions must comply with applicable state law regarding suspensions</w:t>
      </w:r>
      <w:r w:rsidR="00862EA4">
        <w:t>,</w:t>
      </w:r>
      <w:r w:rsidR="00836AC3">
        <w:t xml:space="preserve"> and applicable </w:t>
      </w:r>
      <w:r w:rsidR="00C63601">
        <w:t xml:space="preserve">state and </w:t>
      </w:r>
      <w:r w:rsidR="00836AC3">
        <w:t>federal law and board policies regarding removal of students with disabilities.</w:t>
      </w:r>
    </w:p>
    <w:p w14:paraId="1103C0DC" w14:textId="71164ADC" w:rsidR="006808BA" w:rsidRPr="005C5072" w:rsidRDefault="005C5072" w:rsidP="00C5672D">
      <w:pPr>
        <w:pStyle w:val="Paragraph"/>
      </w:pPr>
      <w:r>
        <w:t xml:space="preserve">The Title IX Coordinator shall promptly provide notice of the emergency removal decision to the respondent explaining the reasons for the removal decision.  The respondent shall have the opportunity to challenge the </w:t>
      </w:r>
      <w:r w:rsidR="009C4DE7">
        <w:t xml:space="preserve">removal </w:t>
      </w:r>
      <w:r>
        <w:t xml:space="preserve">decision </w:t>
      </w:r>
      <w:r w:rsidR="009C4DE7">
        <w:t xml:space="preserve">of the Title IX Coordinator </w:t>
      </w:r>
      <w:r>
        <w:t xml:space="preserve">to the </w:t>
      </w:r>
      <w:r w:rsidR="006F1A2E">
        <w:t xml:space="preserve">Board President </w:t>
      </w:r>
      <w:r w:rsidR="00F06882" w:rsidRPr="00964ED8">
        <w:t>or other designated decision</w:t>
      </w:r>
      <w:r w:rsidR="00BD5064">
        <w:t>-</w:t>
      </w:r>
      <w:r w:rsidR="00F06882" w:rsidRPr="00964ED8">
        <w:t>maker</w:t>
      </w:r>
      <w:r w:rsidRPr="00964ED8">
        <w:t>,</w:t>
      </w:r>
      <w:r>
        <w:t xml:space="preserve"> whose decision regarding removal shall be final.</w:t>
      </w:r>
    </w:p>
    <w:p w14:paraId="580A773C" w14:textId="77777777" w:rsidR="00CB35A7" w:rsidRPr="000C3C8F" w:rsidRDefault="00CB35A7" w:rsidP="000C3C8F">
      <w:pPr>
        <w:pStyle w:val="Heading1"/>
      </w:pPr>
      <w:r w:rsidRPr="000C3C8F">
        <w:t>Administrative Leave for the Respondent Employee</w:t>
      </w:r>
    </w:p>
    <w:p w14:paraId="248D254C" w14:textId="7983D963" w:rsidR="00CB35A7" w:rsidRDefault="00CB35A7" w:rsidP="00CB35A7">
      <w:pPr>
        <w:pStyle w:val="Paragraph"/>
      </w:pPr>
      <w:r>
        <w:t xml:space="preserve">In the event the respondent is an employee (teacher, administrator, or ancillary staff), the </w:t>
      </w:r>
      <w:r w:rsidR="00891F59">
        <w:t>Director</w:t>
      </w:r>
      <w:r>
        <w:t xml:space="preserve"> is authorized to place the respondent on administrative leave </w:t>
      </w:r>
      <w:r w:rsidR="00CE201E">
        <w:t>during the pendency of the grievance procedure,</w:t>
      </w:r>
      <w:r w:rsidRPr="00000839">
        <w:t xml:space="preserve"> and the </w:t>
      </w:r>
      <w:r w:rsidR="00891F59">
        <w:t>Director</w:t>
      </w:r>
      <w:r w:rsidRPr="00000839">
        <w:t xml:space="preserve"> identifies a need to temporarily remove the employee from </w:t>
      </w:r>
      <w:r w:rsidR="00214199">
        <w:t>their</w:t>
      </w:r>
      <w:r w:rsidRPr="00000839">
        <w:t xml:space="preserve"> duties and/or job placement to protect </w:t>
      </w:r>
      <w:r w:rsidR="006F1A2E">
        <w:t>district/unit</w:t>
      </w:r>
      <w:r w:rsidRPr="00000839">
        <w:t xml:space="preserve"> property, school</w:t>
      </w:r>
      <w:r w:rsidR="006F1A2E">
        <w:t>/unit</w:t>
      </w:r>
      <w:r w:rsidRPr="00000839">
        <w:t xml:space="preserve"> operations, st</w:t>
      </w:r>
      <w:r>
        <w:t xml:space="preserve">udents and/or other employees.  If the respondent is the </w:t>
      </w:r>
      <w:r w:rsidR="00891F59">
        <w:t>Director</w:t>
      </w:r>
      <w:r>
        <w:t xml:space="preserve"> or </w:t>
      </w:r>
      <w:r w:rsidR="000C3C8F">
        <w:t>B</w:t>
      </w:r>
      <w:r>
        <w:t xml:space="preserve">usiness </w:t>
      </w:r>
      <w:r w:rsidR="000C3C8F">
        <w:t>M</w:t>
      </w:r>
      <w:r>
        <w:t xml:space="preserve">anager, the Board President is authorized to place the </w:t>
      </w:r>
      <w:r w:rsidR="00891F59">
        <w:t>Director</w:t>
      </w:r>
      <w:r>
        <w:t xml:space="preserve"> or </w:t>
      </w:r>
      <w:r w:rsidR="000C3C8F">
        <w:t>B</w:t>
      </w:r>
      <w:r>
        <w:t xml:space="preserve">usiness </w:t>
      </w:r>
      <w:r w:rsidR="000C3C8F">
        <w:t>M</w:t>
      </w:r>
      <w:r>
        <w:t>anager on administrative leave.</w:t>
      </w:r>
    </w:p>
    <w:p w14:paraId="55DC88AF" w14:textId="28C4AF7B" w:rsidR="00CB35A7" w:rsidRDefault="00CB35A7" w:rsidP="00CB35A7">
      <w:pPr>
        <w:pStyle w:val="Paragraph"/>
      </w:pPr>
      <w:r w:rsidRPr="00000839">
        <w:t xml:space="preserve">The duration of administrative leave shall be until the investigation is complete and the </w:t>
      </w:r>
      <w:r w:rsidR="00891F59">
        <w:t>Director</w:t>
      </w:r>
      <w:r w:rsidRPr="00000839">
        <w:t xml:space="preserve"> determines that the employee’s potential threat or disruption to </w:t>
      </w:r>
      <w:r w:rsidR="006F1A2E">
        <w:t>district/u</w:t>
      </w:r>
      <w:r w:rsidR="00891F59">
        <w:t>nit</w:t>
      </w:r>
      <w:r w:rsidRPr="00000839">
        <w:t xml:space="preserve"> property, school</w:t>
      </w:r>
      <w:r w:rsidR="006F1A2E">
        <w:t>/unit</w:t>
      </w:r>
      <w:r w:rsidRPr="00000839">
        <w:t xml:space="preserve"> operations, students and/or other employees has</w:t>
      </w:r>
      <w:r>
        <w:t xml:space="preserve"> passed.</w:t>
      </w:r>
    </w:p>
    <w:p w14:paraId="087484A2" w14:textId="61689B41" w:rsidR="00CB35A7" w:rsidRPr="00000839" w:rsidRDefault="00CB35A7" w:rsidP="00CB35A7">
      <w:pPr>
        <w:pStyle w:val="Paragraph"/>
      </w:pPr>
      <w:r w:rsidRPr="00000839">
        <w:t xml:space="preserve">Prior to placing an employee on administrative leave, the </w:t>
      </w:r>
      <w:r w:rsidR="00891F59">
        <w:t>Director</w:t>
      </w:r>
      <w:r w:rsidRPr="00000839">
        <w:t xml:space="preserve"> </w:t>
      </w:r>
      <w:r>
        <w:t>may</w:t>
      </w:r>
      <w:r w:rsidRPr="00000839">
        <w:t xml:space="preserve"> consider if a transfer or reassignment of the employee would be an appropriate alternative to administrative leave.  A decision to transfer or reassign an employee shall not violate the terms of the employee’s contract with the </w:t>
      </w:r>
      <w:r w:rsidR="00891F59">
        <w:t>Unit</w:t>
      </w:r>
      <w:r w:rsidRPr="00000839">
        <w:t xml:space="preserve"> or negotiated agreement, if applicable.</w:t>
      </w:r>
    </w:p>
    <w:p w14:paraId="7910F345" w14:textId="77777777" w:rsidR="00CB35A7" w:rsidRPr="000C3C8F" w:rsidRDefault="00CB35A7" w:rsidP="000C3C8F">
      <w:pPr>
        <w:pStyle w:val="Paragraph"/>
      </w:pPr>
      <w:r w:rsidRPr="000C3C8F">
        <w:t>For certified or contract employees, administrative leave shall be with pay, and the employee shall not be required to take any applicable paid leave benefits as part of the administrative leave.  For ancillary staff, administrative leave may be without pay and the employee may be permitted to take paid leave if available under the applicable leave policies.</w:t>
      </w:r>
    </w:p>
    <w:p w14:paraId="46E6FD9C" w14:textId="77777777" w:rsidR="00AF7A86" w:rsidRPr="000C3C8F" w:rsidRDefault="00832AB6" w:rsidP="000C3C8F">
      <w:pPr>
        <w:pStyle w:val="Heading1"/>
      </w:pPr>
      <w:r w:rsidRPr="000C3C8F">
        <w:t>Filing of Formal Complaint</w:t>
      </w:r>
    </w:p>
    <w:p w14:paraId="269C30A0" w14:textId="10BB5464" w:rsidR="008F0042" w:rsidRDefault="00832AB6" w:rsidP="00C5672D">
      <w:pPr>
        <w:pStyle w:val="Paragraph"/>
      </w:pPr>
      <w:r>
        <w:t>A formal complaint regarding sexual harassment may be filed by the complainant</w:t>
      </w:r>
      <w:r w:rsidR="00D1509D">
        <w:t xml:space="preserve"> with the Title IX Coordinator</w:t>
      </w:r>
      <w:r w:rsidR="00C5672D">
        <w:t xml:space="preserve"> </w:t>
      </w:r>
      <w:r w:rsidR="00F06882">
        <w:t xml:space="preserve">in person, by mail, by email, or by any online submission system provided by the </w:t>
      </w:r>
      <w:r w:rsidR="00891F59">
        <w:t>Unit</w:t>
      </w:r>
      <w:r w:rsidR="00117EA3">
        <w:t>.</w:t>
      </w:r>
      <w:r w:rsidR="000C3C8F">
        <w:t xml:space="preserve"> </w:t>
      </w:r>
      <w:r w:rsidR="00F06882">
        <w:t xml:space="preserve"> A formal complaint may also be </w:t>
      </w:r>
      <w:r w:rsidR="007F7E0A">
        <w:t xml:space="preserve">initiated and </w:t>
      </w:r>
      <w:r>
        <w:t xml:space="preserve">signed by the Title IX Coordinator.  </w:t>
      </w:r>
      <w:r w:rsidR="00005AE2">
        <w:t xml:space="preserve">A formal complaint may not be filed anonymously by a complainant.  </w:t>
      </w:r>
      <w:r w:rsidR="0055108C">
        <w:t xml:space="preserve">At the time of filing a formal complaint, the complainant must be participating in or attempting to participate in an education program or activity of the </w:t>
      </w:r>
      <w:r w:rsidR="002876DE">
        <w:t>District/Unit</w:t>
      </w:r>
      <w:r w:rsidR="0055108C">
        <w:t>.</w:t>
      </w:r>
      <w:r w:rsidR="000C3C8F">
        <w:t xml:space="preserve"> </w:t>
      </w:r>
      <w:r w:rsidR="0055108C">
        <w:t xml:space="preserve"> </w:t>
      </w:r>
      <w:r>
        <w:t xml:space="preserve">The </w:t>
      </w:r>
      <w:r w:rsidR="00891F59">
        <w:t>Unit</w:t>
      </w:r>
      <w:r>
        <w:t xml:space="preserve"> must respect the complainant’s wishes with respect to whether the </w:t>
      </w:r>
      <w:r w:rsidR="0055108C">
        <w:t>Title IX Coordinator</w:t>
      </w:r>
      <w:r>
        <w:t xml:space="preserve"> </w:t>
      </w:r>
      <w:r w:rsidR="0055108C">
        <w:t>initiates a formal complaint and investigation</w:t>
      </w:r>
      <w:r>
        <w:t xml:space="preserve"> unless the Title IX Coordinator determines that signing a formal complaint to initiate an investigation over the wishes of the complainant is not clearly unreasonable in light of the known circumstances.</w:t>
      </w:r>
      <w:r w:rsidR="00645939">
        <w:t xml:space="preserve">  The Title IX Coordinator is authorized to exercise discretion to consolidate formal complaints when allegations of sexual harassment arise out of the same facts or circumstances.</w:t>
      </w:r>
    </w:p>
    <w:p w14:paraId="510233A1" w14:textId="77777777" w:rsidR="00F301F2" w:rsidRDefault="00F301F2" w:rsidP="008F0042">
      <w:pPr>
        <w:pStyle w:val="Heading1"/>
      </w:pPr>
      <w:r>
        <w:t>Written Notice of Allegations</w:t>
      </w:r>
    </w:p>
    <w:p w14:paraId="5C838898" w14:textId="77777777" w:rsidR="009A666B" w:rsidRPr="000C3C8F" w:rsidRDefault="002D7063" w:rsidP="00A239EF">
      <w:pPr>
        <w:pStyle w:val="Paragraph"/>
        <w:spacing w:after="0"/>
      </w:pPr>
      <w:r w:rsidRPr="000C3C8F">
        <w:t>Upon</w:t>
      </w:r>
      <w:r w:rsidR="00F301F2" w:rsidRPr="000C3C8F">
        <w:t xml:space="preserve"> receipt </w:t>
      </w:r>
      <w:r w:rsidR="000475F1" w:rsidRPr="000C3C8F">
        <w:t xml:space="preserve">or signing </w:t>
      </w:r>
      <w:r w:rsidR="00F301F2" w:rsidRPr="000C3C8F">
        <w:t xml:space="preserve">of a formal </w:t>
      </w:r>
      <w:r w:rsidR="00BD5064" w:rsidRPr="000C3C8F">
        <w:t xml:space="preserve">sexual harassment </w:t>
      </w:r>
      <w:r w:rsidR="00F301F2" w:rsidRPr="000C3C8F">
        <w:t xml:space="preserve">complaint, the Title IX Coordinator must provide written notice of the allegations to the </w:t>
      </w:r>
      <w:r w:rsidR="009A666B" w:rsidRPr="000C3C8F">
        <w:t xml:space="preserve">complainant and </w:t>
      </w:r>
      <w:r w:rsidR="000475F1" w:rsidRPr="000C3C8F">
        <w:t xml:space="preserve">to </w:t>
      </w:r>
      <w:r w:rsidR="009A666B" w:rsidRPr="000C3C8F">
        <w:t xml:space="preserve">the </w:t>
      </w:r>
      <w:r w:rsidR="00F301F2" w:rsidRPr="000C3C8F">
        <w:t>respondent.  The written notice must</w:t>
      </w:r>
      <w:r w:rsidR="009A666B" w:rsidRPr="000C3C8F">
        <w:t>:</w:t>
      </w:r>
    </w:p>
    <w:p w14:paraId="44611152" w14:textId="2BBA9E1B" w:rsidR="00CE201E" w:rsidRDefault="00CE201E" w:rsidP="000C3C8F">
      <w:pPr>
        <w:pStyle w:val="NumBulletHeader"/>
      </w:pPr>
      <w:r>
        <w:t xml:space="preserve">Advise the parties of the </w:t>
      </w:r>
      <w:r w:rsidR="002876DE">
        <w:t>u</w:t>
      </w:r>
      <w:r w:rsidR="00891F59">
        <w:t>nit</w:t>
      </w:r>
      <w:r>
        <w:t>’s grievance process;</w:t>
      </w:r>
    </w:p>
    <w:p w14:paraId="3D1C18A5" w14:textId="6DE9FB78" w:rsidR="009A666B" w:rsidRPr="000C3C8F" w:rsidRDefault="00635BC2" w:rsidP="000C3C8F">
      <w:pPr>
        <w:pStyle w:val="NumBulletHeader"/>
      </w:pPr>
      <w:r w:rsidRPr="000C3C8F">
        <w:t>I</w:t>
      </w:r>
      <w:r w:rsidR="00866A2A" w:rsidRPr="000C3C8F">
        <w:t>denti</w:t>
      </w:r>
      <w:r w:rsidR="00314BAB" w:rsidRPr="000C3C8F">
        <w:t>f</w:t>
      </w:r>
      <w:r w:rsidR="009A666B" w:rsidRPr="000C3C8F">
        <w:t xml:space="preserve">y </w:t>
      </w:r>
      <w:r w:rsidR="004F5760" w:rsidRPr="000C3C8F">
        <w:t xml:space="preserve">by name </w:t>
      </w:r>
      <w:r w:rsidR="009A666B" w:rsidRPr="000C3C8F">
        <w:t>the</w:t>
      </w:r>
      <w:r w:rsidR="00866A2A" w:rsidRPr="000C3C8F">
        <w:t xml:space="preserve"> </w:t>
      </w:r>
      <w:r w:rsidR="00005AE2" w:rsidRPr="000C3C8F">
        <w:t xml:space="preserve">known </w:t>
      </w:r>
      <w:r w:rsidR="00866A2A" w:rsidRPr="000C3C8F">
        <w:t>parties involved in the alleged misconduct, including the</w:t>
      </w:r>
      <w:r w:rsidR="009A666B" w:rsidRPr="000C3C8F">
        <w:t xml:space="preserve"> complainant and the respondent;</w:t>
      </w:r>
    </w:p>
    <w:p w14:paraId="79EA3B38" w14:textId="44958D59" w:rsidR="009A666B" w:rsidRPr="000C3C8F" w:rsidRDefault="009A666B" w:rsidP="000C3C8F">
      <w:pPr>
        <w:pStyle w:val="NumBulletHeader"/>
      </w:pPr>
      <w:r w:rsidRPr="000C3C8F">
        <w:t xml:space="preserve">Include </w:t>
      </w:r>
      <w:r w:rsidR="00635BC2" w:rsidRPr="000C3C8F">
        <w:t xml:space="preserve">known </w:t>
      </w:r>
      <w:r w:rsidRPr="000C3C8F">
        <w:t xml:space="preserve">details of the </w:t>
      </w:r>
      <w:r w:rsidR="00314BAB" w:rsidRPr="000C3C8F">
        <w:t>mis</w:t>
      </w:r>
      <w:r w:rsidR="00730158" w:rsidRPr="000C3C8F">
        <w:t xml:space="preserve">conduct that potentially constitutes </w:t>
      </w:r>
      <w:r w:rsidRPr="000C3C8F">
        <w:t>sexual harassment alleged against the respondent, including the date</w:t>
      </w:r>
      <w:r w:rsidR="00992ADE" w:rsidRPr="000C3C8F">
        <w:t>(s)</w:t>
      </w:r>
      <w:r w:rsidRPr="000C3C8F">
        <w:t xml:space="preserve"> and location</w:t>
      </w:r>
      <w:r w:rsidR="00992ADE" w:rsidRPr="000C3C8F">
        <w:t>(s)</w:t>
      </w:r>
      <w:r w:rsidRPr="000C3C8F">
        <w:t xml:space="preserve"> of the alleged </w:t>
      </w:r>
      <w:r w:rsidR="00635BC2" w:rsidRPr="000C3C8F">
        <w:t>conduct</w:t>
      </w:r>
      <w:r w:rsidRPr="000C3C8F">
        <w:t>;</w:t>
      </w:r>
    </w:p>
    <w:p w14:paraId="29EEC5E9" w14:textId="77777777" w:rsidR="004B4E42" w:rsidRPr="000C3C8F" w:rsidRDefault="004B4E42" w:rsidP="000C3C8F">
      <w:pPr>
        <w:pStyle w:val="NumBulletHeader"/>
      </w:pPr>
      <w:r w:rsidRPr="000C3C8F">
        <w:t xml:space="preserve">Advise the parties of the presumption of non-responsibility on the part of the respondent </w:t>
      </w:r>
      <w:r w:rsidR="00E20E72" w:rsidRPr="000C3C8F">
        <w:t xml:space="preserve">as to the allegations of sexual harassment until </w:t>
      </w:r>
      <w:r w:rsidR="00D4538D" w:rsidRPr="000C3C8F">
        <w:t xml:space="preserve">a determination of responsibility is made at </w:t>
      </w:r>
      <w:r w:rsidR="00E20E72" w:rsidRPr="000C3C8F">
        <w:t xml:space="preserve">the </w:t>
      </w:r>
      <w:r w:rsidR="00CD500A" w:rsidRPr="000C3C8F">
        <w:t>conclusion of the grievance process</w:t>
      </w:r>
      <w:r w:rsidRPr="000C3C8F">
        <w:t>;</w:t>
      </w:r>
    </w:p>
    <w:p w14:paraId="482B4B25" w14:textId="385C6D11" w:rsidR="009A666B" w:rsidRPr="000C3C8F" w:rsidRDefault="009A666B" w:rsidP="000C3C8F">
      <w:pPr>
        <w:pStyle w:val="NumBulletHeader"/>
      </w:pPr>
      <w:r w:rsidRPr="000C3C8F">
        <w:t xml:space="preserve">Advise the </w:t>
      </w:r>
      <w:r w:rsidR="000475F1" w:rsidRPr="000C3C8F">
        <w:t>parties</w:t>
      </w:r>
      <w:r w:rsidR="00314BAB" w:rsidRPr="000C3C8F">
        <w:t xml:space="preserve"> of the right of each to an </w:t>
      </w:r>
      <w:r w:rsidR="00992ADE" w:rsidRPr="000C3C8F">
        <w:t xml:space="preserve">adult </w:t>
      </w:r>
      <w:r w:rsidR="00314BAB" w:rsidRPr="000C3C8F">
        <w:t>advisor of their choice</w:t>
      </w:r>
      <w:r w:rsidR="000475F1" w:rsidRPr="000C3C8F">
        <w:t xml:space="preserve">, </w:t>
      </w:r>
      <w:r w:rsidR="00CE201E">
        <w:t>who may be</w:t>
      </w:r>
      <w:r w:rsidR="001B378C">
        <w:t>,</w:t>
      </w:r>
      <w:r w:rsidR="00CE201E">
        <w:t xml:space="preserve"> but is not required to be</w:t>
      </w:r>
      <w:r w:rsidR="00CE201E" w:rsidRPr="000C3C8F">
        <w:t xml:space="preserve"> </w:t>
      </w:r>
      <w:r w:rsidR="000475F1" w:rsidRPr="000C3C8F">
        <w:t>an attorney</w:t>
      </w:r>
      <w:r w:rsidR="00992ADE" w:rsidRPr="000C3C8F">
        <w:t>, throughout the grievance process</w:t>
      </w:r>
      <w:r w:rsidR="004F5760" w:rsidRPr="000C3C8F">
        <w:t>;</w:t>
      </w:r>
    </w:p>
    <w:p w14:paraId="3FEE9991" w14:textId="77777777" w:rsidR="00D158DF" w:rsidRPr="000C3C8F" w:rsidRDefault="009A666B" w:rsidP="000C3C8F">
      <w:pPr>
        <w:pStyle w:val="NumBulletHeader"/>
      </w:pPr>
      <w:r w:rsidRPr="000C3C8F">
        <w:t>A</w:t>
      </w:r>
      <w:r w:rsidR="00D158DF" w:rsidRPr="000C3C8F">
        <w:t xml:space="preserve">dvise the </w:t>
      </w:r>
      <w:r w:rsidR="000475F1" w:rsidRPr="000C3C8F">
        <w:t>parties</w:t>
      </w:r>
      <w:r w:rsidRPr="000C3C8F">
        <w:t xml:space="preserve"> </w:t>
      </w:r>
      <w:r w:rsidR="00BD5064" w:rsidRPr="000C3C8F">
        <w:t>of</w:t>
      </w:r>
      <w:r w:rsidRPr="000C3C8F">
        <w:t xml:space="preserve"> the prohibition against </w:t>
      </w:r>
      <w:r w:rsidR="00A57FAD" w:rsidRPr="000C3C8F">
        <w:t xml:space="preserve">knowingly making </w:t>
      </w:r>
      <w:r w:rsidR="00D158DF" w:rsidRPr="000C3C8F">
        <w:t>a materially false statement</w:t>
      </w:r>
      <w:r w:rsidR="00A57FAD" w:rsidRPr="000C3C8F">
        <w:t xml:space="preserve"> or </w:t>
      </w:r>
      <w:r w:rsidRPr="000C3C8F">
        <w:t xml:space="preserve">providing </w:t>
      </w:r>
      <w:r w:rsidR="00D158DF" w:rsidRPr="000C3C8F">
        <w:t xml:space="preserve">materially </w:t>
      </w:r>
      <w:r w:rsidRPr="000C3C8F">
        <w:t>false</w:t>
      </w:r>
      <w:r w:rsidR="00A57FAD" w:rsidRPr="000C3C8F">
        <w:t xml:space="preserve"> information in connection with the allegations of sexual harassment set forth in the report or formal complaint and </w:t>
      </w:r>
      <w:r w:rsidR="00D158DF" w:rsidRPr="000C3C8F">
        <w:t xml:space="preserve">of </w:t>
      </w:r>
      <w:r w:rsidR="00A57FAD" w:rsidRPr="000C3C8F">
        <w:t>any potential disciplinary actions that may result if false statements or false information are knowingly provided</w:t>
      </w:r>
      <w:r w:rsidR="00D158DF" w:rsidRPr="000C3C8F">
        <w:t>;</w:t>
      </w:r>
    </w:p>
    <w:p w14:paraId="3F862252" w14:textId="4CD107EE" w:rsidR="00D158DF" w:rsidRPr="000C3C8F" w:rsidRDefault="00D158DF" w:rsidP="000C3C8F">
      <w:pPr>
        <w:pStyle w:val="NumBulletHeader"/>
      </w:pPr>
      <w:r w:rsidRPr="000C3C8F">
        <w:t xml:space="preserve">Advise the </w:t>
      </w:r>
      <w:r w:rsidR="000475F1" w:rsidRPr="000C3C8F">
        <w:t>parties</w:t>
      </w:r>
      <w:r w:rsidRPr="000C3C8F">
        <w:t xml:space="preserve"> of the informal resolution procedure, including the circumstances under which such procedure is available</w:t>
      </w:r>
      <w:r w:rsidR="00744ECE" w:rsidRPr="000C3C8F">
        <w:t xml:space="preserve">, and the right of </w:t>
      </w:r>
      <w:r w:rsidR="00F91195">
        <w:t>either party</w:t>
      </w:r>
      <w:r w:rsidR="00744ECE" w:rsidRPr="000C3C8F">
        <w:t xml:space="preserve"> to end the informal process at any time and begin the formal resolution procedure</w:t>
      </w:r>
      <w:r w:rsidRPr="000C3C8F">
        <w:t>;</w:t>
      </w:r>
    </w:p>
    <w:p w14:paraId="17DF8B0B" w14:textId="150192FF" w:rsidR="00314BAB" w:rsidRPr="000C3C8F" w:rsidRDefault="00314BAB" w:rsidP="000C3C8F">
      <w:pPr>
        <w:pStyle w:val="NumBulletHeader"/>
      </w:pPr>
      <w:r w:rsidRPr="000C3C8F">
        <w:t xml:space="preserve">Advise the </w:t>
      </w:r>
      <w:r w:rsidR="000475F1" w:rsidRPr="000C3C8F">
        <w:t>parties</w:t>
      </w:r>
      <w:r w:rsidRPr="000C3C8F">
        <w:t xml:space="preserve"> of the </w:t>
      </w:r>
      <w:r w:rsidR="00891F59">
        <w:t>Unit</w:t>
      </w:r>
      <w:r w:rsidRPr="000C3C8F">
        <w:t>’s obligation to conduct a formal investigation;</w:t>
      </w:r>
    </w:p>
    <w:p w14:paraId="75E5E402" w14:textId="77777777" w:rsidR="00D4538D" w:rsidRPr="000C3C8F" w:rsidRDefault="00822154" w:rsidP="000C3C8F">
      <w:pPr>
        <w:pStyle w:val="NumBulletHeader"/>
      </w:pPr>
      <w:r w:rsidRPr="000C3C8F">
        <w:t xml:space="preserve">Advise the </w:t>
      </w:r>
      <w:r w:rsidR="00D4538D" w:rsidRPr="000C3C8F">
        <w:t xml:space="preserve">parties </w:t>
      </w:r>
      <w:r w:rsidRPr="000C3C8F">
        <w:t>of their right to advance written notice of the date, time, location, participants, and purpose of all investigative interviews;</w:t>
      </w:r>
    </w:p>
    <w:p w14:paraId="0F6917B7" w14:textId="257F7454" w:rsidR="00754B87" w:rsidRDefault="00D4538D" w:rsidP="000C3C8F">
      <w:pPr>
        <w:pStyle w:val="NumBulletHeader"/>
      </w:pPr>
      <w:r w:rsidRPr="000C3C8F">
        <w:t>Advise the parties of their right to review all evidence obtained as part of the investigation that is directly related to the allegations raised in the formal complaint and their right to submit a written response to the evidence prior to the conclusion of the investigation;</w:t>
      </w:r>
    </w:p>
    <w:p w14:paraId="302A77CC" w14:textId="4F526A26" w:rsidR="00C35D79" w:rsidRPr="000C3C8F" w:rsidRDefault="00C35D79" w:rsidP="000C3C8F">
      <w:pPr>
        <w:pStyle w:val="NumBulletHeader"/>
      </w:pPr>
      <w:bookmarkStart w:id="2" w:name="_Hlk57134200"/>
      <w:r>
        <w:t>Advise the parties of their right to submit, to the designated decision-maker, written, relevant questions that a party wants asked of any party or witness, be provided the answers, and have opportunity for additional, limited follow-up questions;</w:t>
      </w:r>
    </w:p>
    <w:bookmarkEnd w:id="2"/>
    <w:p w14:paraId="4DBF8C0A" w14:textId="22C19225" w:rsidR="00754B87" w:rsidRPr="000C3C8F" w:rsidRDefault="00FF57C9" w:rsidP="000C3C8F">
      <w:pPr>
        <w:pStyle w:val="NumBulletHeader"/>
      </w:pPr>
      <w:r w:rsidRPr="000C3C8F">
        <w:t xml:space="preserve">Describe or list </w:t>
      </w:r>
      <w:r w:rsidR="00754B87" w:rsidRPr="000C3C8F">
        <w:t xml:space="preserve">the range of </w:t>
      </w:r>
      <w:r w:rsidR="00D1509D" w:rsidRPr="000C3C8F">
        <w:t xml:space="preserve">remedies and </w:t>
      </w:r>
      <w:r w:rsidR="00754B87" w:rsidRPr="000C3C8F">
        <w:t xml:space="preserve">disciplinary actions the </w:t>
      </w:r>
      <w:r w:rsidR="00891F59">
        <w:t>Unit</w:t>
      </w:r>
      <w:r w:rsidR="00754B87" w:rsidRPr="000C3C8F">
        <w:t xml:space="preserve"> may impose</w:t>
      </w:r>
      <w:r w:rsidR="00D1509D" w:rsidRPr="000C3C8F">
        <w:t xml:space="preserve"> following a determination of responsibility</w:t>
      </w:r>
      <w:r w:rsidR="00754B87" w:rsidRPr="000C3C8F">
        <w:t>;</w:t>
      </w:r>
    </w:p>
    <w:p w14:paraId="486C3D30" w14:textId="4AB2840A" w:rsidR="000475F1" w:rsidRPr="000C3C8F" w:rsidRDefault="00754B87" w:rsidP="000C3C8F">
      <w:pPr>
        <w:pStyle w:val="NumBulletHeader"/>
      </w:pPr>
      <w:r w:rsidRPr="000C3C8F">
        <w:t>I</w:t>
      </w:r>
      <w:r w:rsidR="000475F1" w:rsidRPr="000C3C8F">
        <w:t>nform</w:t>
      </w:r>
      <w:r w:rsidRPr="000C3C8F">
        <w:t xml:space="preserve"> the parties of the standard of evidence applied by the </w:t>
      </w:r>
      <w:r w:rsidR="00891F59">
        <w:t>Unit</w:t>
      </w:r>
      <w:r w:rsidRPr="000C3C8F">
        <w:t xml:space="preserve"> to all complaints of sexual harassment under Title IX</w:t>
      </w:r>
      <w:r w:rsidR="000475F1" w:rsidRPr="000C3C8F">
        <w:t>;</w:t>
      </w:r>
    </w:p>
    <w:p w14:paraId="7B74474E" w14:textId="1D7266FA" w:rsidR="000475F1" w:rsidRPr="000C3C8F" w:rsidRDefault="00992ADE" w:rsidP="000C3C8F">
      <w:pPr>
        <w:pStyle w:val="NumBulletHeader"/>
      </w:pPr>
      <w:r w:rsidRPr="000C3C8F">
        <w:t>Describe</w:t>
      </w:r>
      <w:r w:rsidR="000475F1" w:rsidRPr="000C3C8F">
        <w:t xml:space="preserve"> the range of supportive measures available to both parties;</w:t>
      </w:r>
    </w:p>
    <w:p w14:paraId="36E0789E" w14:textId="77777777" w:rsidR="00D158DF" w:rsidRPr="000C3C8F" w:rsidRDefault="000475F1" w:rsidP="000C3C8F">
      <w:pPr>
        <w:pStyle w:val="NumBulletHeader"/>
      </w:pPr>
      <w:r w:rsidRPr="000C3C8F">
        <w:t xml:space="preserve">Explain the appeal procedures; </w:t>
      </w:r>
      <w:r w:rsidR="00314BAB" w:rsidRPr="000C3C8F">
        <w:t>and</w:t>
      </w:r>
    </w:p>
    <w:p w14:paraId="5C8013D9" w14:textId="77777777" w:rsidR="00822154" w:rsidRPr="000C3C8F" w:rsidRDefault="00314BAB" w:rsidP="000C3C8F">
      <w:pPr>
        <w:pStyle w:val="NumBulletHeader"/>
        <w:spacing w:after="240"/>
      </w:pPr>
      <w:r w:rsidRPr="000C3C8F">
        <w:t>Advise the parties not to discuss or disseminate the allegations in a manner that constitutes retaliation or unlawful tortious conduct.</w:t>
      </w:r>
    </w:p>
    <w:p w14:paraId="38864C7E" w14:textId="77777777" w:rsidR="00F301F2" w:rsidRPr="00264F22" w:rsidRDefault="002D7063" w:rsidP="00264F22">
      <w:pPr>
        <w:pStyle w:val="Paragraph"/>
      </w:pPr>
      <w:r w:rsidRPr="00264F22">
        <w:t xml:space="preserve">Written notice </w:t>
      </w:r>
      <w:r w:rsidR="00D60367" w:rsidRPr="00264F22">
        <w:t xml:space="preserve">of allegations </w:t>
      </w:r>
      <w:r w:rsidRPr="00264F22">
        <w:t xml:space="preserve">must be provided with sufficient time for </w:t>
      </w:r>
      <w:r w:rsidR="00394251" w:rsidRPr="00264F22">
        <w:t>the parties</w:t>
      </w:r>
      <w:r w:rsidRPr="00264F22">
        <w:t xml:space="preserve"> to prepare for an initial interview</w:t>
      </w:r>
      <w:r w:rsidR="00314BAB" w:rsidRPr="00264F22">
        <w:t xml:space="preserve"> and so that both parties understand the scope of the investigation and can prepare to meaningfully participate by advancing the party’s own interests in the outcome of the matter</w:t>
      </w:r>
      <w:r w:rsidRPr="00264F22">
        <w:t xml:space="preserve">.  </w:t>
      </w:r>
      <w:r w:rsidR="000B57ED" w:rsidRPr="00264F22">
        <w:t>The Title IX Coordinator may use age-appropriate measures in choosing how to convey the information required to be included in the written notice.</w:t>
      </w:r>
      <w:r w:rsidR="00730158" w:rsidRPr="00264F22">
        <w:t xml:space="preserve">  In the event allegations in the formal complaint change or additional potential violations are discovered, the Title IX Coordinator must promptly provide written notice of </w:t>
      </w:r>
      <w:r w:rsidR="00992ADE" w:rsidRPr="00264F22">
        <w:t>the</w:t>
      </w:r>
      <w:r w:rsidR="00730158" w:rsidRPr="00264F22">
        <w:t xml:space="preserve"> changes </w:t>
      </w:r>
      <w:r w:rsidR="00992ADE" w:rsidRPr="00264F22">
        <w:t>or</w:t>
      </w:r>
      <w:r w:rsidR="00730158" w:rsidRPr="00264F22">
        <w:t xml:space="preserve"> additional potential violations to the complainant and the respondent.</w:t>
      </w:r>
    </w:p>
    <w:p w14:paraId="13313D64" w14:textId="77777777" w:rsidR="008F0042" w:rsidRPr="008F0042" w:rsidRDefault="00BC0607" w:rsidP="008F0042">
      <w:pPr>
        <w:pStyle w:val="Heading1"/>
      </w:pPr>
      <w:r>
        <w:t xml:space="preserve">Informal and Formal </w:t>
      </w:r>
      <w:r w:rsidR="00FF1F42">
        <w:t>Resolution</w:t>
      </w:r>
      <w:r w:rsidR="00FF1F42" w:rsidRPr="008F0042">
        <w:t xml:space="preserve"> </w:t>
      </w:r>
      <w:r w:rsidR="008F0042" w:rsidRPr="008F0042">
        <w:t>Timeframes</w:t>
      </w:r>
    </w:p>
    <w:p w14:paraId="630CE0F8" w14:textId="4C6FEE44" w:rsidR="00992ADE" w:rsidRDefault="00992ADE" w:rsidP="008F0042">
      <w:pPr>
        <w:pStyle w:val="Paragraph"/>
      </w:pPr>
      <w:r>
        <w:t xml:space="preserve">The </w:t>
      </w:r>
      <w:r w:rsidR="002876DE">
        <w:t>District/</w:t>
      </w:r>
      <w:r w:rsidR="00891F59">
        <w:t>Unit</w:t>
      </w:r>
      <w:r>
        <w:t xml:space="preserve"> is required to follow the formal resolution procedure when a formal complaint containing allegations of sexual harassment is filed.  Before proceeding with the formal resolution process, the </w:t>
      </w:r>
      <w:r w:rsidR="002876DE">
        <w:t>District/</w:t>
      </w:r>
      <w:r w:rsidR="00891F59">
        <w:t>Unit</w:t>
      </w:r>
      <w:r>
        <w:t xml:space="preserve"> may offer the </w:t>
      </w:r>
      <w:r w:rsidR="00F356D8">
        <w:t xml:space="preserve">informal </w:t>
      </w:r>
      <w:r>
        <w:t xml:space="preserve">resolution procedure to the complainant and the </w:t>
      </w:r>
      <w:r w:rsidRPr="00796784">
        <w:t xml:space="preserve">respondent when deemed appropriate and only when both parties voluntarily agree </w:t>
      </w:r>
      <w:r w:rsidR="00994DDF">
        <w:t xml:space="preserve">in writing </w:t>
      </w:r>
      <w:r w:rsidRPr="00796784">
        <w:t xml:space="preserve">to attempt the </w:t>
      </w:r>
      <w:r w:rsidR="00796784">
        <w:t xml:space="preserve">informal </w:t>
      </w:r>
      <w:r w:rsidRPr="00796784">
        <w:t>resolutio</w:t>
      </w:r>
      <w:r>
        <w:t>n procedure.  The informal resolution procedure may not be offered to resolve allegations that an employee sexually harassed a student.</w:t>
      </w:r>
    </w:p>
    <w:p w14:paraId="001F7A6A" w14:textId="4675F178" w:rsidR="008F0042" w:rsidRPr="008F0042" w:rsidRDefault="008F0042" w:rsidP="008F0042">
      <w:pPr>
        <w:pStyle w:val="Paragraph"/>
      </w:pPr>
      <w:r w:rsidRPr="008F0042">
        <w:t xml:space="preserve">The informal resolution procedure must be completed within </w:t>
      </w:r>
      <w:r w:rsidR="00F61424">
        <w:t xml:space="preserve">30 days </w:t>
      </w:r>
      <w:r w:rsidRPr="008F0042">
        <w:t xml:space="preserve">of </w:t>
      </w:r>
      <w:r w:rsidR="004E4CE1">
        <w:t xml:space="preserve">the receipt or signing of </w:t>
      </w:r>
      <w:r w:rsidR="004E4CE1" w:rsidRPr="008F0042">
        <w:t xml:space="preserve">a </w:t>
      </w:r>
      <w:r w:rsidR="004E4CE1">
        <w:t>formal complaint by the Title IX</w:t>
      </w:r>
      <w:r w:rsidR="004E4CE1" w:rsidRPr="008F0042">
        <w:t xml:space="preserve"> </w:t>
      </w:r>
      <w:r w:rsidR="004E4CE1">
        <w:t>C</w:t>
      </w:r>
      <w:r w:rsidR="004E4CE1" w:rsidRPr="008F0042">
        <w:t>oordinator</w:t>
      </w:r>
      <w:r w:rsidRPr="008F0042">
        <w:t xml:space="preserve">, unless the </w:t>
      </w:r>
      <w:r w:rsidR="00FF1F42">
        <w:t>Title IX Coordinator</w:t>
      </w:r>
      <w:r w:rsidR="00FF1F42" w:rsidRPr="008F0042">
        <w:t xml:space="preserve"> </w:t>
      </w:r>
      <w:r w:rsidRPr="008F0042">
        <w:t xml:space="preserve">documents </w:t>
      </w:r>
      <w:r w:rsidR="00BC0607">
        <w:t>good cause</w:t>
      </w:r>
      <w:r w:rsidR="00BC0607" w:rsidRPr="008F0042">
        <w:t xml:space="preserve"> </w:t>
      </w:r>
      <w:r w:rsidRPr="008F0042">
        <w:t xml:space="preserve">for </w:t>
      </w:r>
      <w:r w:rsidR="00BC0607">
        <w:t xml:space="preserve">a temporary or limited </w:t>
      </w:r>
      <w:r w:rsidRPr="008F0042">
        <w:t xml:space="preserve">delay and communicates </w:t>
      </w:r>
      <w:r w:rsidR="00BC0607">
        <w:t>the cause for the delay</w:t>
      </w:r>
      <w:r w:rsidRPr="008F0042">
        <w:t xml:space="preserve"> to</w:t>
      </w:r>
      <w:r>
        <w:t xml:space="preserve"> the complainant and </w:t>
      </w:r>
      <w:r w:rsidR="00992ADE">
        <w:t>the respondent</w:t>
      </w:r>
      <w:r>
        <w:t>.</w:t>
      </w:r>
    </w:p>
    <w:p w14:paraId="52A7F2B3" w14:textId="6B85AA10" w:rsidR="00AE3ECF" w:rsidRDefault="008F0042" w:rsidP="008F0042">
      <w:pPr>
        <w:pStyle w:val="Paragraph"/>
      </w:pPr>
      <w:r w:rsidRPr="008F0042">
        <w:t>The formal resolution procedure</w:t>
      </w:r>
      <w:r w:rsidR="00BC0607">
        <w:t>, including any appeal process,</w:t>
      </w:r>
      <w:r w:rsidRPr="008F0042">
        <w:t xml:space="preserve"> must be completed within </w:t>
      </w:r>
      <w:r w:rsidR="00F61424">
        <w:t xml:space="preserve">60 school </w:t>
      </w:r>
      <w:r w:rsidR="004322C2" w:rsidRPr="005F05D5">
        <w:rPr>
          <w:bCs/>
        </w:rPr>
        <w:t>days</w:t>
      </w:r>
      <w:r w:rsidR="004322C2">
        <w:t xml:space="preserve"> </w:t>
      </w:r>
      <w:r w:rsidRPr="008F0042">
        <w:t xml:space="preserve">of </w:t>
      </w:r>
      <w:r w:rsidR="007409D6">
        <w:t xml:space="preserve">the receipt </w:t>
      </w:r>
      <w:r w:rsidR="004E4CE1">
        <w:t xml:space="preserve">or signing </w:t>
      </w:r>
      <w:r w:rsidR="007409D6">
        <w:t xml:space="preserve">of </w:t>
      </w:r>
      <w:r w:rsidRPr="008F0042">
        <w:t xml:space="preserve">a </w:t>
      </w:r>
      <w:r w:rsidR="007409D6">
        <w:t xml:space="preserve">formal complaint by the </w:t>
      </w:r>
      <w:r w:rsidR="0024247D">
        <w:t>Title IX</w:t>
      </w:r>
      <w:r w:rsidRPr="008F0042">
        <w:t xml:space="preserve"> </w:t>
      </w:r>
      <w:r w:rsidR="0024247D">
        <w:t>C</w:t>
      </w:r>
      <w:r w:rsidRPr="008F0042">
        <w:t>oordinator or a complainant or a</w:t>
      </w:r>
      <w:r w:rsidR="007409D6">
        <w:t xml:space="preserve"> respondent</w:t>
      </w:r>
      <w:r w:rsidRPr="008F0042">
        <w:t xml:space="preserve"> terminating the informal </w:t>
      </w:r>
      <w:r w:rsidR="007409D6">
        <w:t>resolution</w:t>
      </w:r>
      <w:r w:rsidR="007409D6" w:rsidRPr="008F0042">
        <w:t xml:space="preserve"> </w:t>
      </w:r>
      <w:r w:rsidRPr="008F0042">
        <w:t xml:space="preserve">procedure, </w:t>
      </w:r>
      <w:r w:rsidRPr="00BC0607">
        <w:t xml:space="preserve">unless the </w:t>
      </w:r>
      <w:r w:rsidR="0024247D" w:rsidRPr="00BC0607">
        <w:t xml:space="preserve">Title IX Coordinator </w:t>
      </w:r>
      <w:r w:rsidRPr="00BC0607">
        <w:t xml:space="preserve">documents </w:t>
      </w:r>
      <w:r w:rsidR="00BC0607" w:rsidRPr="001F0FCB">
        <w:t xml:space="preserve">good cause </w:t>
      </w:r>
      <w:r w:rsidRPr="00BC0607">
        <w:t xml:space="preserve">for </w:t>
      </w:r>
      <w:r w:rsidR="00BC0607">
        <w:t xml:space="preserve">a temporary or limited </w:t>
      </w:r>
      <w:r w:rsidRPr="00BC0607">
        <w:t>delay and communicates the</w:t>
      </w:r>
      <w:r w:rsidR="00BC0607">
        <w:t xml:space="preserve"> cause for the delay to</w:t>
      </w:r>
      <w:r w:rsidRPr="00BC0607">
        <w:t xml:space="preserve"> the complainant and </w:t>
      </w:r>
      <w:r w:rsidR="007409D6" w:rsidRPr="00BC0607">
        <w:t>the respondent</w:t>
      </w:r>
      <w:r w:rsidRPr="00BC0607">
        <w:t>.</w:t>
      </w:r>
    </w:p>
    <w:p w14:paraId="15229AE8" w14:textId="77777777" w:rsidR="00CE201E" w:rsidRDefault="00CE201E" w:rsidP="00CE201E">
      <w:pPr>
        <w:pStyle w:val="Paragraph"/>
      </w:pPr>
      <w:r>
        <w:t>Good cause for a temporary or limited delay in the completion of the informal resolution procedure or the formal resolution procedure may include considerations such as the absence of a party, a party’s advisor, or a witness; concurrent law enforcement activity; or the need for language assistance or accommodation of disabilities.</w:t>
      </w:r>
    </w:p>
    <w:p w14:paraId="10168DBB" w14:textId="4C326313" w:rsidR="00217B6A" w:rsidRDefault="00217B6A" w:rsidP="008F0042">
      <w:pPr>
        <w:pStyle w:val="Paragraph"/>
      </w:pPr>
      <w:r>
        <w:t xml:space="preserve">The </w:t>
      </w:r>
      <w:r w:rsidR="00891F59">
        <w:t>Unit</w:t>
      </w:r>
      <w:r>
        <w:t xml:space="preserve"> recognizes that conduct that constitutes sexual harassment may also consti</w:t>
      </w:r>
      <w:r w:rsidR="00BC0607">
        <w:t xml:space="preserve">tute </w:t>
      </w:r>
      <w:r w:rsidR="003C0307">
        <w:t xml:space="preserve">child abuse, </w:t>
      </w:r>
      <w:r w:rsidR="00BC0607">
        <w:t>sexual abuse</w:t>
      </w:r>
      <w:r w:rsidR="003C0307">
        <w:t>,</w:t>
      </w:r>
      <w:r w:rsidR="00BC0607">
        <w:t xml:space="preserve"> or other crimes</w:t>
      </w:r>
      <w:r>
        <w:t xml:space="preserve"> resulting in law enforcement investigations.  In such situations and when good cause exists, the Title IX resolution procedure</w:t>
      </w:r>
      <w:r w:rsidR="00BC0607">
        <w:t>s</w:t>
      </w:r>
      <w:r>
        <w:t xml:space="preserve"> may be temporarily delayed in order to coordinate or cooperate with a concurrent law enforcement investigation.  The existence of a concurrent law enforcement investigation does not </w:t>
      </w:r>
      <w:r w:rsidR="00BC0607">
        <w:t xml:space="preserve">relieve the </w:t>
      </w:r>
      <w:r w:rsidR="00891F59">
        <w:t>Unit</w:t>
      </w:r>
      <w:r w:rsidR="00BC0607">
        <w:t xml:space="preserve"> of its obligation to respond to reports or complaints of sexual harassment as provided by Title IX and applicable regulations.</w:t>
      </w:r>
    </w:p>
    <w:p w14:paraId="4C47F27C" w14:textId="77777777" w:rsidR="005254C9" w:rsidRPr="008F0042" w:rsidRDefault="005254C9" w:rsidP="005254C9">
      <w:pPr>
        <w:pStyle w:val="Heading1"/>
      </w:pPr>
      <w:r w:rsidRPr="008F0042">
        <w:t xml:space="preserve">Prohibition on Meeting with the </w:t>
      </w:r>
      <w:r>
        <w:t>Respondent</w:t>
      </w:r>
    </w:p>
    <w:p w14:paraId="7F2E57AF" w14:textId="77777777" w:rsidR="005254C9" w:rsidRDefault="005254C9" w:rsidP="005254C9">
      <w:pPr>
        <w:pStyle w:val="Paragraph"/>
      </w:pPr>
      <w:r w:rsidRPr="008F0042">
        <w:t xml:space="preserve">At no time during the informal or formal resolution process shall the complainant be required to meet </w:t>
      </w:r>
      <w:r>
        <w:t xml:space="preserve">in person, be confronted by, or speak directly </w:t>
      </w:r>
      <w:r w:rsidRPr="008F0042">
        <w:t xml:space="preserve">with the </w:t>
      </w:r>
      <w:r>
        <w:t>respondent</w:t>
      </w:r>
      <w:r w:rsidRPr="008F0042">
        <w:t>.</w:t>
      </w:r>
    </w:p>
    <w:p w14:paraId="2FE6D035" w14:textId="77777777" w:rsidR="008F0042" w:rsidRPr="008F0042" w:rsidRDefault="008F0042" w:rsidP="008F0042">
      <w:pPr>
        <w:pStyle w:val="Heading1"/>
      </w:pPr>
      <w:r w:rsidRPr="008F0042">
        <w:t>Informal Resolution Procedure</w:t>
      </w:r>
    </w:p>
    <w:p w14:paraId="44CE5001" w14:textId="22B2C85D" w:rsidR="008F0042" w:rsidRPr="00871CE9" w:rsidRDefault="008F0042" w:rsidP="008F0042">
      <w:pPr>
        <w:pStyle w:val="Paragraph"/>
      </w:pPr>
      <w:r w:rsidRPr="008F0042">
        <w:t xml:space="preserve">This procedure may only be used when </w:t>
      </w:r>
      <w:r w:rsidR="000166AA">
        <w:t>a formal complaint is filed containing a</w:t>
      </w:r>
      <w:r w:rsidR="007409D6">
        <w:t xml:space="preserve">llegations of sexual harassment, </w:t>
      </w:r>
      <w:r w:rsidR="00744ECE">
        <w:t>when the Title IX Coordinator deems it appropriate under the circumstances, and the complainant and</w:t>
      </w:r>
      <w:r w:rsidR="007409D6">
        <w:t xml:space="preserve"> respondent</w:t>
      </w:r>
      <w:r w:rsidR="00744ECE">
        <w:t xml:space="preserve"> voluntarily consent</w:t>
      </w:r>
      <w:r w:rsidR="00F06882">
        <w:t xml:space="preserve"> in writing</w:t>
      </w:r>
      <w:r w:rsidR="00221998">
        <w:t xml:space="preserve"> </w:t>
      </w:r>
      <w:r w:rsidR="00744ECE">
        <w:t xml:space="preserve">to participate </w:t>
      </w:r>
      <w:r w:rsidR="00611EC0">
        <w:t>in</w:t>
      </w:r>
      <w:r w:rsidR="00C5672D">
        <w:t xml:space="preserve"> </w:t>
      </w:r>
      <w:r w:rsidR="00F06882">
        <w:t>the</w:t>
      </w:r>
      <w:r w:rsidR="00C5672D">
        <w:t xml:space="preserve"> informal resolution</w:t>
      </w:r>
      <w:r w:rsidR="00F06882">
        <w:t xml:space="preserve"> procedure</w:t>
      </w:r>
      <w:r w:rsidR="00090D26">
        <w:t xml:space="preserve">. </w:t>
      </w:r>
      <w:r w:rsidR="00C5672D">
        <w:t xml:space="preserve"> </w:t>
      </w:r>
      <w:r w:rsidRPr="008F0042">
        <w:t>This procedure may not be used when</w:t>
      </w:r>
      <w:r w:rsidR="00090D26">
        <w:t xml:space="preserve"> t</w:t>
      </w:r>
      <w:r w:rsidR="00615265">
        <w:t>he complainant is a student and the resp</w:t>
      </w:r>
      <w:r w:rsidR="00090D26">
        <w:t xml:space="preserve">ondent is a </w:t>
      </w:r>
      <w:r w:rsidR="006E2D04">
        <w:t>u</w:t>
      </w:r>
      <w:r w:rsidR="00891F59">
        <w:t>nit</w:t>
      </w:r>
      <w:r w:rsidR="00090D26">
        <w:t xml:space="preserve"> employee. </w:t>
      </w:r>
      <w:r w:rsidR="00C5672D">
        <w:t xml:space="preserve"> </w:t>
      </w:r>
      <w:r w:rsidR="00744ECE">
        <w:t xml:space="preserve">Participation in the </w:t>
      </w:r>
      <w:r w:rsidR="00264F22" w:rsidRPr="00871CE9">
        <w:t xml:space="preserve">informal </w:t>
      </w:r>
      <w:r w:rsidR="00744ECE" w:rsidRPr="00871CE9">
        <w:t xml:space="preserve">resolution procedure may not be a condition of enrollment or employment, or enjoyment of any other right.  </w:t>
      </w:r>
      <w:r w:rsidR="00994DDF">
        <w:t xml:space="preserve">The informal resolution procedure may be facilitated at any time prior to reaching a determination regarding responsibility under the formal resolution procedure.  </w:t>
      </w:r>
      <w:r w:rsidR="00744ECE" w:rsidRPr="00871CE9">
        <w:t>The formal resolution procedure must be used whenever the informal procedure is not permitted or deemed appropriate.</w:t>
      </w:r>
    </w:p>
    <w:p w14:paraId="39E00C88" w14:textId="76015AFE" w:rsidR="00BF42FA" w:rsidRPr="008F0042" w:rsidRDefault="00BF42FA" w:rsidP="008F0042">
      <w:pPr>
        <w:pStyle w:val="Paragraph"/>
      </w:pPr>
      <w:r w:rsidRPr="00871CE9">
        <w:t xml:space="preserve">Prior to commencing the </w:t>
      </w:r>
      <w:r w:rsidR="00066188" w:rsidRPr="00871CE9">
        <w:t xml:space="preserve">informal </w:t>
      </w:r>
      <w:r w:rsidRPr="00871CE9">
        <w:t xml:space="preserve">resolution </w:t>
      </w:r>
      <w:r>
        <w:t>process, the Title IX Coordinator or other designated facilitator shall inform the parties of the informa</w:t>
      </w:r>
      <w:r w:rsidR="00170A3F">
        <w:t>l</w:t>
      </w:r>
      <w:r>
        <w:t xml:space="preserve"> resolution parameters, the potential consequences</w:t>
      </w:r>
      <w:r w:rsidR="00170A3F">
        <w:t xml:space="preserve"> of participation in the process (e.g., no formal investigation undertaken, no admission of responsibility)</w:t>
      </w:r>
      <w:r>
        <w:t>, and any confidentiality implications.</w:t>
      </w:r>
    </w:p>
    <w:p w14:paraId="634D92E6" w14:textId="0AC6DFFA" w:rsidR="00197221" w:rsidRPr="00264F22" w:rsidRDefault="00197221" w:rsidP="00625DE7">
      <w:pPr>
        <w:pStyle w:val="Paragraph"/>
        <w:spacing w:after="0"/>
      </w:pPr>
      <w:r w:rsidRPr="00264F22">
        <w:t>Upon commencement of</w:t>
      </w:r>
      <w:r w:rsidR="008F0042" w:rsidRPr="00264F22">
        <w:t xml:space="preserve"> the informal resolution process, the </w:t>
      </w:r>
      <w:r w:rsidR="000166AA" w:rsidRPr="00264F22">
        <w:t xml:space="preserve">Title IX Coordinator </w:t>
      </w:r>
      <w:r w:rsidR="00992ADE" w:rsidRPr="00264F22">
        <w:t xml:space="preserve">or other </w:t>
      </w:r>
      <w:r w:rsidR="00390F27" w:rsidRPr="00264F22">
        <w:t xml:space="preserve">designated </w:t>
      </w:r>
      <w:r w:rsidR="009C1608" w:rsidRPr="00264F22">
        <w:t>facilitator</w:t>
      </w:r>
      <w:r w:rsidR="00992ADE" w:rsidRPr="00264F22">
        <w:t xml:space="preserve"> </w:t>
      </w:r>
      <w:r w:rsidR="008F0042" w:rsidRPr="00264F22">
        <w:t xml:space="preserve">shall gather information necessary to understand </w:t>
      </w:r>
      <w:r w:rsidR="009C1608" w:rsidRPr="00264F22">
        <w:t>the allegations set forth in</w:t>
      </w:r>
      <w:r w:rsidR="008F0042" w:rsidRPr="00264F22">
        <w:t xml:space="preserve"> the </w:t>
      </w:r>
      <w:r w:rsidR="009C1608" w:rsidRPr="00264F22">
        <w:t xml:space="preserve">formal </w:t>
      </w:r>
      <w:r w:rsidR="008F0042" w:rsidRPr="00264F22">
        <w:t>complaint</w:t>
      </w:r>
      <w:r w:rsidRPr="00264F22">
        <w:t xml:space="preserve"> and </w:t>
      </w:r>
      <w:r w:rsidR="00090D26" w:rsidRPr="00264F22">
        <w:t xml:space="preserve">to </w:t>
      </w:r>
      <w:r w:rsidRPr="00264F22">
        <w:t>facilitate the informa</w:t>
      </w:r>
      <w:r w:rsidR="00090D26" w:rsidRPr="00264F22">
        <w:t>l</w:t>
      </w:r>
      <w:r w:rsidRPr="00264F22">
        <w:t xml:space="preserve"> resolution process</w:t>
      </w:r>
      <w:r w:rsidR="008F0042" w:rsidRPr="00264F22">
        <w:t xml:space="preserve">.  Based on this </w:t>
      </w:r>
      <w:r w:rsidR="009C1608" w:rsidRPr="00264F22">
        <w:t>information</w:t>
      </w:r>
      <w:r w:rsidR="008F0042" w:rsidRPr="00264F22">
        <w:t xml:space="preserve">-gathering process, the </w:t>
      </w:r>
      <w:r w:rsidR="00161F0C" w:rsidRPr="00264F22">
        <w:t xml:space="preserve">Title IX Coordinator </w:t>
      </w:r>
      <w:r w:rsidR="009C1608" w:rsidRPr="00264F22">
        <w:t>or other designated facilitator</w:t>
      </w:r>
      <w:r w:rsidR="00390F27" w:rsidRPr="00264F22">
        <w:t xml:space="preserve"> </w:t>
      </w:r>
      <w:r w:rsidR="008F0042" w:rsidRPr="00264F22">
        <w:t xml:space="preserve">shall propose </w:t>
      </w:r>
      <w:r w:rsidR="00090D26" w:rsidRPr="00264F22">
        <w:t xml:space="preserve">to the parties </w:t>
      </w:r>
      <w:r w:rsidR="008F0042" w:rsidRPr="00264F22">
        <w:t>an informal resolution</w:t>
      </w:r>
      <w:r w:rsidR="009C1608" w:rsidRPr="00264F22">
        <w:t xml:space="preserve"> process</w:t>
      </w:r>
      <w:r w:rsidR="008F0042" w:rsidRPr="00264F22">
        <w:t>, which may include</w:t>
      </w:r>
      <w:r w:rsidRPr="00264F22">
        <w:t>, but is not limited to:</w:t>
      </w:r>
    </w:p>
    <w:p w14:paraId="32096510" w14:textId="5FAF3FE2" w:rsidR="00197221" w:rsidRPr="00264F22" w:rsidRDefault="00197221" w:rsidP="00B84E6E">
      <w:pPr>
        <w:pStyle w:val="NumBulletHeader"/>
        <w:numPr>
          <w:ilvl w:val="0"/>
          <w:numId w:val="5"/>
        </w:numPr>
        <w:ind w:left="720" w:hanging="720"/>
      </w:pPr>
      <w:r w:rsidRPr="00264F22">
        <w:t>P</w:t>
      </w:r>
      <w:r w:rsidR="009C1608" w:rsidRPr="00264F22">
        <w:t xml:space="preserve">articipation </w:t>
      </w:r>
      <w:r w:rsidRPr="00264F22">
        <w:t xml:space="preserve">by the parties </w:t>
      </w:r>
      <w:r w:rsidR="009C1608" w:rsidRPr="00264F22">
        <w:t>in mediation</w:t>
      </w:r>
      <w:r w:rsidR="00C365A7" w:rsidRPr="00264F22">
        <w:t xml:space="preserve"> or other alternative dispute resolution procedure</w:t>
      </w:r>
      <w:r w:rsidR="006D695B" w:rsidRPr="00264F22">
        <w:t xml:space="preserve"> facilitated by the Title IX Coordinator, other designated facilitator, or third-party mutually agreed upon by the parties</w:t>
      </w:r>
      <w:r w:rsidRPr="00264F22">
        <w:t>;</w:t>
      </w:r>
    </w:p>
    <w:p w14:paraId="2D76D2AF" w14:textId="77777777" w:rsidR="00197221" w:rsidRPr="00264F22" w:rsidRDefault="00197221" w:rsidP="00B84E6E">
      <w:pPr>
        <w:pStyle w:val="NumBulletHeader"/>
        <w:numPr>
          <w:ilvl w:val="0"/>
          <w:numId w:val="5"/>
        </w:numPr>
        <w:ind w:left="720" w:hanging="720"/>
      </w:pPr>
      <w:r w:rsidRPr="00264F22">
        <w:t xml:space="preserve">Holding a meeting (or series of meetings) with the parties and their advisors (provided all parties consent to participation) to discuss a potential </w:t>
      </w:r>
      <w:r w:rsidR="00090D26" w:rsidRPr="00264F22">
        <w:t>resolution;</w:t>
      </w:r>
    </w:p>
    <w:p w14:paraId="427D3C12" w14:textId="77777777" w:rsidR="00090D26" w:rsidRPr="00264F22" w:rsidRDefault="00090D26" w:rsidP="00B84E6E">
      <w:pPr>
        <w:pStyle w:val="NumBulletHeader"/>
        <w:numPr>
          <w:ilvl w:val="0"/>
          <w:numId w:val="5"/>
        </w:numPr>
        <w:ind w:left="720" w:hanging="720"/>
      </w:pPr>
      <w:r w:rsidRPr="00264F22">
        <w:t xml:space="preserve">Development </w:t>
      </w:r>
      <w:r w:rsidR="006D695B" w:rsidRPr="00264F22">
        <w:t xml:space="preserve">by Title IX Coordinator or other designated facilitator </w:t>
      </w:r>
      <w:r w:rsidRPr="00264F22">
        <w:t>of written behavior expectations of the respondent to redirect conduct;</w:t>
      </w:r>
      <w:r w:rsidR="00254D82" w:rsidRPr="00264F22">
        <w:t xml:space="preserve"> or</w:t>
      </w:r>
    </w:p>
    <w:p w14:paraId="597656BA" w14:textId="77777777" w:rsidR="00197221" w:rsidRPr="00264F22" w:rsidRDefault="00090D26" w:rsidP="00B84E6E">
      <w:pPr>
        <w:pStyle w:val="NumBulletHeader"/>
        <w:numPr>
          <w:ilvl w:val="0"/>
          <w:numId w:val="5"/>
        </w:numPr>
        <w:spacing w:after="240"/>
        <w:ind w:left="720" w:hanging="720"/>
      </w:pPr>
      <w:r w:rsidRPr="00264F22">
        <w:t>Arranging a documented meeting with the respondent that involves a discussion of the sex discrimination and sexual harassment policies and requirements for compliance.</w:t>
      </w:r>
    </w:p>
    <w:p w14:paraId="2BEA15C2" w14:textId="77777777" w:rsidR="00254D82" w:rsidRPr="00264F22" w:rsidRDefault="00197221" w:rsidP="00625DE7">
      <w:pPr>
        <w:pStyle w:val="Paragraph"/>
        <w:spacing w:after="0"/>
      </w:pPr>
      <w:r w:rsidRPr="00264F22">
        <w:t>The informal resolution process may result in agreements made between the parties, facilitated by the Title IX C</w:t>
      </w:r>
      <w:r w:rsidR="00090D26" w:rsidRPr="00264F22">
        <w:t>oordinator</w:t>
      </w:r>
      <w:r w:rsidRPr="00264F22">
        <w:t xml:space="preserve"> or other designated facilitator</w:t>
      </w:r>
      <w:r w:rsidR="00090D26" w:rsidRPr="00264F22">
        <w:t>,</w:t>
      </w:r>
      <w:r w:rsidRPr="00264F22">
        <w:t xml:space="preserve"> that result in the provision or continuation of supporti</w:t>
      </w:r>
      <w:r w:rsidR="00090D26" w:rsidRPr="00264F22">
        <w:t>ve</w:t>
      </w:r>
      <w:r w:rsidRPr="00264F22">
        <w:t xml:space="preserve"> measures, </w:t>
      </w:r>
      <w:r w:rsidR="00090D26" w:rsidRPr="00264F22">
        <w:t>as well as</w:t>
      </w:r>
      <w:r w:rsidRPr="00264F22">
        <w:t xml:space="preserve"> disc</w:t>
      </w:r>
      <w:r w:rsidR="00254D82" w:rsidRPr="00264F22">
        <w:t>iplinary or punitive measures.</w:t>
      </w:r>
      <w:r w:rsidR="00477C41" w:rsidRPr="00264F22">
        <w:t xml:space="preserve">  These agreements may contain confidentiality requirements.</w:t>
      </w:r>
      <w:r w:rsidR="00254D82" w:rsidRPr="00264F22">
        <w:t xml:space="preserve"> </w:t>
      </w:r>
      <w:r w:rsidR="00BC1BC5" w:rsidRPr="00264F22">
        <w:t xml:space="preserve"> </w:t>
      </w:r>
      <w:r w:rsidR="00477C41" w:rsidRPr="00264F22">
        <w:t>D</w:t>
      </w:r>
      <w:r w:rsidR="00254D82" w:rsidRPr="00264F22">
        <w:t>isciplinary or punitive measures may include, but are not limited to:</w:t>
      </w:r>
    </w:p>
    <w:p w14:paraId="4E517470" w14:textId="77777777" w:rsidR="00254D82" w:rsidRPr="00264F22" w:rsidRDefault="00254D82" w:rsidP="00B84E6E">
      <w:pPr>
        <w:pStyle w:val="NumBulletHeader"/>
        <w:numPr>
          <w:ilvl w:val="0"/>
          <w:numId w:val="6"/>
        </w:numPr>
        <w:ind w:left="720" w:hanging="720"/>
      </w:pPr>
      <w:r w:rsidRPr="00264F22">
        <w:t>R</w:t>
      </w:r>
      <w:r w:rsidR="008F0042" w:rsidRPr="00264F22">
        <w:t xml:space="preserve">equiring the </w:t>
      </w:r>
      <w:r w:rsidR="00606CBA" w:rsidRPr="00264F22">
        <w:t xml:space="preserve">respondent </w:t>
      </w:r>
      <w:r w:rsidR="008F0042" w:rsidRPr="00264F22">
        <w:t xml:space="preserve">to </w:t>
      </w:r>
      <w:r w:rsidRPr="00264F22">
        <w:t>undergo training on harassment;</w:t>
      </w:r>
    </w:p>
    <w:p w14:paraId="25ECD909" w14:textId="77777777" w:rsidR="00254D82" w:rsidRPr="00264F22" w:rsidRDefault="00254D82" w:rsidP="00B84E6E">
      <w:pPr>
        <w:pStyle w:val="NumBulletHeader"/>
        <w:numPr>
          <w:ilvl w:val="0"/>
          <w:numId w:val="6"/>
        </w:numPr>
        <w:ind w:left="720" w:hanging="720"/>
      </w:pPr>
      <w:r w:rsidRPr="00264F22">
        <w:t>Requiring the respondent to undergo counseling;</w:t>
      </w:r>
    </w:p>
    <w:p w14:paraId="0A4EFAC6" w14:textId="77777777" w:rsidR="00254D82" w:rsidRPr="00264F22" w:rsidRDefault="00D60367" w:rsidP="00B84E6E">
      <w:pPr>
        <w:pStyle w:val="NumBulletHeader"/>
        <w:numPr>
          <w:ilvl w:val="0"/>
          <w:numId w:val="6"/>
        </w:numPr>
        <w:ind w:left="720" w:hanging="720"/>
      </w:pPr>
      <w:r w:rsidRPr="00264F22">
        <w:t>Recommend alternative placement or t</w:t>
      </w:r>
      <w:r w:rsidR="00254D82" w:rsidRPr="00264F22">
        <w:t>ransfer of the respondent to different class(es), building, or campus;</w:t>
      </w:r>
    </w:p>
    <w:p w14:paraId="12F742DE" w14:textId="77777777" w:rsidR="00254D82" w:rsidRPr="00264F22" w:rsidRDefault="00254D82" w:rsidP="00B84E6E">
      <w:pPr>
        <w:pStyle w:val="NumBulletHeader"/>
        <w:numPr>
          <w:ilvl w:val="0"/>
          <w:numId w:val="6"/>
        </w:numPr>
        <w:ind w:left="720" w:hanging="720"/>
      </w:pPr>
      <w:r w:rsidRPr="00264F22">
        <w:t>I</w:t>
      </w:r>
      <w:r w:rsidR="008F0042" w:rsidRPr="00264F22">
        <w:t xml:space="preserve">nstituting protection </w:t>
      </w:r>
      <w:r w:rsidRPr="00264F22">
        <w:t>mechanisms for the complainant (e.g., no-contact order, security escort, safety plan);</w:t>
      </w:r>
    </w:p>
    <w:p w14:paraId="32CCF652" w14:textId="77777777" w:rsidR="00D60367" w:rsidRPr="00264F22" w:rsidRDefault="00D60367" w:rsidP="00B84E6E">
      <w:pPr>
        <w:pStyle w:val="NumBulletHeader"/>
        <w:numPr>
          <w:ilvl w:val="0"/>
          <w:numId w:val="6"/>
        </w:numPr>
        <w:ind w:left="720" w:hanging="720"/>
      </w:pPr>
      <w:r w:rsidRPr="00264F22">
        <w:t>Creation of behavioral adjustment plan for the respondent;</w:t>
      </w:r>
    </w:p>
    <w:p w14:paraId="7C12800D" w14:textId="275B56E7" w:rsidR="00254D82" w:rsidRPr="00264F22" w:rsidRDefault="00254D82" w:rsidP="00B84E6E">
      <w:pPr>
        <w:pStyle w:val="NumBulletHeader"/>
        <w:numPr>
          <w:ilvl w:val="0"/>
          <w:numId w:val="6"/>
        </w:numPr>
        <w:ind w:left="720" w:hanging="720"/>
      </w:pPr>
      <w:r w:rsidRPr="00264F22">
        <w:t xml:space="preserve">In-school or out-of-school suspension for </w:t>
      </w:r>
      <w:r w:rsidR="00994DDF">
        <w:t>a</w:t>
      </w:r>
      <w:r w:rsidRPr="00264F22">
        <w:t xml:space="preserve"> respondent</w:t>
      </w:r>
      <w:r w:rsidR="00994DDF">
        <w:t xml:space="preserve"> student</w:t>
      </w:r>
      <w:r w:rsidRPr="00264F22">
        <w:t>;</w:t>
      </w:r>
    </w:p>
    <w:p w14:paraId="6CC771E0" w14:textId="3FAB0F35" w:rsidR="00254D82" w:rsidRDefault="00254D82" w:rsidP="00DF2204">
      <w:pPr>
        <w:pStyle w:val="NumBulletHeader"/>
        <w:numPr>
          <w:ilvl w:val="0"/>
          <w:numId w:val="6"/>
        </w:numPr>
        <w:ind w:left="720" w:hanging="720"/>
      </w:pPr>
      <w:r w:rsidRPr="00264F22">
        <w:t xml:space="preserve">Expulsion of </w:t>
      </w:r>
      <w:r w:rsidR="00994DDF">
        <w:t>a</w:t>
      </w:r>
      <w:r w:rsidR="00994DDF" w:rsidRPr="00264F22">
        <w:t xml:space="preserve"> </w:t>
      </w:r>
      <w:r w:rsidRPr="00264F22">
        <w:t>respondent</w:t>
      </w:r>
      <w:r w:rsidR="00994DDF">
        <w:t xml:space="preserve"> student</w:t>
      </w:r>
      <w:r w:rsidR="006D695B" w:rsidRPr="00264F22">
        <w:t xml:space="preserve"> for a period not to exceed the remainder of the current school year</w:t>
      </w:r>
      <w:r w:rsidRPr="00264F22">
        <w:t xml:space="preserve"> provided the respondent and the respondent’s parent(s)/legal guardian(s) consent and waive any applicable due process rights in writing</w:t>
      </w:r>
      <w:r w:rsidR="00994DDF">
        <w:t>;</w:t>
      </w:r>
    </w:p>
    <w:p w14:paraId="44E43A95" w14:textId="73243F0A" w:rsidR="00994DDF" w:rsidRDefault="00994DDF" w:rsidP="00DF2204">
      <w:pPr>
        <w:pStyle w:val="NumBulletHeader"/>
        <w:numPr>
          <w:ilvl w:val="0"/>
          <w:numId w:val="6"/>
        </w:numPr>
        <w:ind w:left="720" w:hanging="720"/>
      </w:pPr>
      <w:r>
        <w:t xml:space="preserve">Written reprimand </w:t>
      </w:r>
      <w:r w:rsidR="00CE201E">
        <w:t>place</w:t>
      </w:r>
      <w:r w:rsidR="001B378C">
        <w:t>d</w:t>
      </w:r>
      <w:r w:rsidR="00CE201E">
        <w:t xml:space="preserve"> in </w:t>
      </w:r>
      <w:r>
        <w:t>a respondent employee’s personnel file; or</w:t>
      </w:r>
    </w:p>
    <w:p w14:paraId="5FE68A80" w14:textId="725A1F68" w:rsidR="00994DDF" w:rsidRPr="00264F22" w:rsidRDefault="00994DDF" w:rsidP="00B84E6E">
      <w:pPr>
        <w:pStyle w:val="NumBulletHeader"/>
        <w:numPr>
          <w:ilvl w:val="0"/>
          <w:numId w:val="6"/>
        </w:numPr>
        <w:spacing w:after="240"/>
        <w:ind w:left="720" w:hanging="720"/>
      </w:pPr>
      <w:r>
        <w:t>Termination of employment for a respondent employee provided the respondent employee consents and waives any applicable due process or continuing contract rights in writing.</w:t>
      </w:r>
    </w:p>
    <w:p w14:paraId="3A6881A8" w14:textId="74E04C05" w:rsidR="008F0042" w:rsidRPr="008F0042" w:rsidRDefault="008F0042" w:rsidP="008F0042">
      <w:pPr>
        <w:pStyle w:val="Paragraph"/>
      </w:pPr>
      <w:r w:rsidRPr="008F0042">
        <w:t xml:space="preserve">The </w:t>
      </w:r>
      <w:r w:rsidR="002F31E8">
        <w:t>Title IX C</w:t>
      </w:r>
      <w:r w:rsidRPr="008F0042">
        <w:t xml:space="preserve">oordinator shall monitor the implementation and effectiveness of the informal resolution and initiate the formal resolution procedure if </w:t>
      </w:r>
      <w:r w:rsidR="007B191E">
        <w:t xml:space="preserve">the alleged </w:t>
      </w:r>
      <w:r w:rsidRPr="008F0042">
        <w:t>harassment persists.</w:t>
      </w:r>
    </w:p>
    <w:p w14:paraId="5642D76E" w14:textId="77777777" w:rsidR="008F0042" w:rsidRPr="008F0042" w:rsidRDefault="008F0042" w:rsidP="008F0042">
      <w:pPr>
        <w:pStyle w:val="Paragraph"/>
      </w:pPr>
      <w:r w:rsidRPr="008F0042">
        <w:t xml:space="preserve">Both the complainant and the </w:t>
      </w:r>
      <w:r w:rsidR="00606CBA">
        <w:t>respondent</w:t>
      </w:r>
      <w:r w:rsidR="00606CBA" w:rsidRPr="008F0042">
        <w:t xml:space="preserve"> </w:t>
      </w:r>
      <w:r w:rsidRPr="008F0042">
        <w:t>have the right to terminate</w:t>
      </w:r>
      <w:r w:rsidR="00C365A7">
        <w:t xml:space="preserve"> or withdraw from</w:t>
      </w:r>
      <w:r w:rsidRPr="008F0042">
        <w:t xml:space="preserve"> the informal resolution procedure </w:t>
      </w:r>
      <w:r w:rsidR="00F935E1">
        <w:t>and</w:t>
      </w:r>
      <w:r w:rsidR="00F935E1" w:rsidRPr="008F0042">
        <w:t xml:space="preserve"> </w:t>
      </w:r>
      <w:r w:rsidR="00F935E1">
        <w:t>resume the</w:t>
      </w:r>
      <w:r w:rsidRPr="008F0042">
        <w:t xml:space="preserve"> formal resolution procedure</w:t>
      </w:r>
      <w:r w:rsidR="007B191E" w:rsidRPr="007B191E">
        <w:t xml:space="preserve"> </w:t>
      </w:r>
      <w:r w:rsidR="007B191E" w:rsidRPr="008F0042">
        <w:t xml:space="preserve">at any time </w:t>
      </w:r>
      <w:r w:rsidR="007B191E">
        <w:t>prior to agreeing to a resolution</w:t>
      </w:r>
      <w:r w:rsidRPr="008F0042">
        <w:t>.</w:t>
      </w:r>
    </w:p>
    <w:p w14:paraId="5D4F8926" w14:textId="77777777" w:rsidR="008F0042" w:rsidRPr="008F0042" w:rsidRDefault="008F0042" w:rsidP="008F0042">
      <w:pPr>
        <w:pStyle w:val="Heading1"/>
      </w:pPr>
      <w:r w:rsidRPr="008F0042">
        <w:t>Formal Resolution Procedure</w:t>
      </w:r>
    </w:p>
    <w:p w14:paraId="4F4D701D" w14:textId="13657F44" w:rsidR="00754B87" w:rsidRPr="006E2D04" w:rsidRDefault="008F0042" w:rsidP="008F0042">
      <w:pPr>
        <w:pStyle w:val="Paragraph"/>
      </w:pPr>
      <w:r w:rsidRPr="008F0042">
        <w:t>This procedure must be used whenever the informal resolution procedure is not used</w:t>
      </w:r>
      <w:r w:rsidR="00FA6FC4">
        <w:t xml:space="preserve"> or is terminated before resolution</w:t>
      </w:r>
      <w:r w:rsidRPr="008F0042">
        <w:t>.</w:t>
      </w:r>
      <w:r w:rsidR="00FF1F42">
        <w:t xml:space="preserve">  The </w:t>
      </w:r>
      <w:r w:rsidR="00FF1F42" w:rsidRPr="006E2D04">
        <w:rPr>
          <w:bCs/>
        </w:rPr>
        <w:t>Title IX Coordinator</w:t>
      </w:r>
      <w:r w:rsidR="00FF1F42">
        <w:t xml:space="preserve"> </w:t>
      </w:r>
      <w:r w:rsidR="005254C9">
        <w:t xml:space="preserve">or other designated investigator </w:t>
      </w:r>
      <w:r w:rsidR="00FF1F42">
        <w:t xml:space="preserve">shall conduct </w:t>
      </w:r>
      <w:r w:rsidR="006F26A8">
        <w:t>a</w:t>
      </w:r>
      <w:r w:rsidR="003D3263">
        <w:t xml:space="preserve"> fair and impartial </w:t>
      </w:r>
      <w:r w:rsidR="00FF1F42">
        <w:t xml:space="preserve">investigation </w:t>
      </w:r>
      <w:r w:rsidR="006F26A8">
        <w:t>of the allegations of sexual harassment set forth in a formal complaint</w:t>
      </w:r>
      <w:r w:rsidR="00FF1F42">
        <w:t xml:space="preserve">.  If the </w:t>
      </w:r>
      <w:r w:rsidR="008510DF" w:rsidRPr="006E2D04">
        <w:rPr>
          <w:bCs/>
        </w:rPr>
        <w:t>Title IX Coordinator</w:t>
      </w:r>
      <w:r w:rsidR="00FF1F42">
        <w:t xml:space="preserve"> </w:t>
      </w:r>
      <w:r w:rsidR="005254C9">
        <w:t xml:space="preserve">or other designated investigator </w:t>
      </w:r>
      <w:r w:rsidR="00FF1F42">
        <w:t>is the respondent or has a conflict or is biased</w:t>
      </w:r>
      <w:r w:rsidR="00A003FD">
        <w:t xml:space="preserve"> in such a manner that may prevent a fair </w:t>
      </w:r>
      <w:r w:rsidR="003D3263">
        <w:t xml:space="preserve">and impartial </w:t>
      </w:r>
      <w:r w:rsidR="00A003FD">
        <w:t>investigation</w:t>
      </w:r>
      <w:r w:rsidR="00FF1F42">
        <w:t xml:space="preserve">, the </w:t>
      </w:r>
      <w:r w:rsidR="006E2D04">
        <w:t xml:space="preserve">Board President </w:t>
      </w:r>
      <w:r w:rsidR="00FF1F42">
        <w:t xml:space="preserve">shall designate </w:t>
      </w:r>
      <w:r w:rsidR="00FF1F42" w:rsidRPr="006E2D04">
        <w:t>another appropriate person to conduct the investigation.</w:t>
      </w:r>
    </w:p>
    <w:p w14:paraId="68D2E54B" w14:textId="0CBA9D4D" w:rsidR="00606CBA" w:rsidRDefault="00AE42CE" w:rsidP="00625DE7">
      <w:pPr>
        <w:pStyle w:val="Paragraph"/>
        <w:spacing w:after="0"/>
      </w:pPr>
      <w:r w:rsidRPr="006E2D04">
        <w:t xml:space="preserve">The fact-gathering portion of the investigation must be carried out or overseen by the </w:t>
      </w:r>
      <w:r w:rsidR="008510DF" w:rsidRPr="006E2D04">
        <w:rPr>
          <w:bCs/>
        </w:rPr>
        <w:t>Title IX Coordinator</w:t>
      </w:r>
      <w:r>
        <w:t xml:space="preserve"> </w:t>
      </w:r>
      <w:r w:rsidR="005254C9">
        <w:t xml:space="preserve">or other designated investigator </w:t>
      </w:r>
      <w:r w:rsidRPr="008F0042">
        <w:t xml:space="preserve">and </w:t>
      </w:r>
      <w:r w:rsidR="004E4CE1">
        <w:t>may</w:t>
      </w:r>
      <w:r w:rsidRPr="008F0042">
        <w:t xml:space="preserve"> consist of interviews with the complainant, the </w:t>
      </w:r>
      <w:r>
        <w:t>respondent</w:t>
      </w:r>
      <w:r w:rsidRPr="008F0042">
        <w:t>, and any others who may have witnessed or otherwise have knowledge of the circumstances giving rise to the alleg</w:t>
      </w:r>
      <w:r w:rsidR="00FA6FC4">
        <w:t>ations in the</w:t>
      </w:r>
      <w:r w:rsidRPr="008F0042">
        <w:t xml:space="preserve"> complaint and may involve gathering and review of </w:t>
      </w:r>
      <w:r w:rsidR="004E4CE1">
        <w:t xml:space="preserve">other </w:t>
      </w:r>
      <w:r w:rsidRPr="008F0042">
        <w:t>information relevant to the complaint.</w:t>
      </w:r>
      <w:r>
        <w:t xml:space="preserve">  </w:t>
      </w:r>
      <w:r w:rsidR="0058553F">
        <w:t xml:space="preserve">Questions and evidence about the complainant’s sexual behavior or predisposition must be deemed irrelevant, unless offered to prove someone other than the respondent committed the alleged conduct, or if the questions and evidence concern specific incidents of the complainant’s prior sexual behavior with respect to the respondent and are offered to prove consent.  </w:t>
      </w:r>
      <w:r w:rsidR="00645939">
        <w:t xml:space="preserve">The </w:t>
      </w:r>
      <w:r w:rsidR="008510DF" w:rsidRPr="00FC4FA7">
        <w:rPr>
          <w:bCs/>
        </w:rPr>
        <w:t>Title IX Coordinator</w:t>
      </w:r>
      <w:r w:rsidR="00645939">
        <w:t xml:space="preserve"> </w:t>
      </w:r>
      <w:r w:rsidR="005254C9">
        <w:t xml:space="preserve">or other designated investigator </w:t>
      </w:r>
      <w:r w:rsidR="00645939">
        <w:t>will investigate formal complaints in a manner that:</w:t>
      </w:r>
    </w:p>
    <w:p w14:paraId="7DB36980" w14:textId="3405E404" w:rsidR="00645939" w:rsidRPr="00264F22" w:rsidRDefault="00645939" w:rsidP="00B84E6E">
      <w:pPr>
        <w:pStyle w:val="NumBulletHeader"/>
        <w:numPr>
          <w:ilvl w:val="0"/>
          <w:numId w:val="7"/>
        </w:numPr>
        <w:ind w:left="720" w:hanging="720"/>
      </w:pPr>
      <w:r w:rsidRPr="00264F22">
        <w:t xml:space="preserve">Keeps the burden of proof and burden of gathering evidence on the </w:t>
      </w:r>
      <w:r w:rsidR="00891F59">
        <w:t>Unit</w:t>
      </w:r>
      <w:r w:rsidRPr="00264F22">
        <w:t xml:space="preserve"> while protecting every party’s right to consent to the use of the party’s own medical, psychological, and similar treatment records;</w:t>
      </w:r>
    </w:p>
    <w:p w14:paraId="66E34BFC" w14:textId="77777777" w:rsidR="00AE42CE" w:rsidRPr="00264F22" w:rsidRDefault="00645939" w:rsidP="00B84E6E">
      <w:pPr>
        <w:pStyle w:val="NumBulletHeader"/>
        <w:numPr>
          <w:ilvl w:val="0"/>
          <w:numId w:val="7"/>
        </w:numPr>
        <w:ind w:left="720" w:hanging="720"/>
      </w:pPr>
      <w:r w:rsidRPr="00264F22">
        <w:t>Provides the parties equal opportunity to present fact</w:t>
      </w:r>
      <w:r w:rsidR="00BD5064" w:rsidRPr="00264F22">
        <w:t>s</w:t>
      </w:r>
      <w:r w:rsidRPr="00264F22">
        <w:t xml:space="preserve"> and expert witnesses and other inculpatory and exculpatory</w:t>
      </w:r>
      <w:r w:rsidR="008C65B8" w:rsidRPr="00264F22">
        <w:t xml:space="preserve"> evidence</w:t>
      </w:r>
      <w:r w:rsidR="00390F27" w:rsidRPr="00264F22">
        <w:t xml:space="preserve"> before any determination regarding responsibility is made</w:t>
      </w:r>
      <w:r w:rsidR="00AE42CE" w:rsidRPr="00264F22">
        <w:t>;</w:t>
      </w:r>
    </w:p>
    <w:p w14:paraId="38E6DF62" w14:textId="77777777" w:rsidR="00645939" w:rsidRPr="00264F22" w:rsidRDefault="00645939" w:rsidP="00B84E6E">
      <w:pPr>
        <w:pStyle w:val="NumBulletHeader"/>
        <w:numPr>
          <w:ilvl w:val="0"/>
          <w:numId w:val="7"/>
        </w:numPr>
        <w:ind w:left="720" w:hanging="720"/>
      </w:pPr>
      <w:r w:rsidRPr="00264F22">
        <w:t>Does not restrict the parties from discussing the allegations or gathering evidence</w:t>
      </w:r>
      <w:r w:rsidR="00710AE4" w:rsidRPr="00264F22">
        <w:t xml:space="preserve"> (e.g., gag orders)</w:t>
      </w:r>
      <w:r w:rsidRPr="00264F22">
        <w:t xml:space="preserve"> except as specifically provided herein</w:t>
      </w:r>
      <w:r w:rsidR="00AE42CE" w:rsidRPr="00264F22">
        <w:t xml:space="preserve"> or as </w:t>
      </w:r>
      <w:r w:rsidR="00FA6FC4" w:rsidRPr="00264F22">
        <w:t>required</w:t>
      </w:r>
      <w:r w:rsidR="00AE42CE" w:rsidRPr="00264F22">
        <w:t xml:space="preserve"> by applicable law</w:t>
      </w:r>
      <w:r w:rsidRPr="00264F22">
        <w:t>;</w:t>
      </w:r>
    </w:p>
    <w:p w14:paraId="0C148E78" w14:textId="2E6150E3" w:rsidR="00645939" w:rsidRPr="00264F22" w:rsidRDefault="00645939" w:rsidP="00DF2204">
      <w:pPr>
        <w:pStyle w:val="NumBulletHeader"/>
        <w:numPr>
          <w:ilvl w:val="0"/>
          <w:numId w:val="5"/>
        </w:numPr>
        <w:ind w:left="720" w:hanging="720"/>
      </w:pPr>
      <w:r w:rsidRPr="00264F22">
        <w:t>Gives the parties equal opportunity to select an advisor of the party’s choice (who may be, but does not need to be, an attorney)</w:t>
      </w:r>
      <w:r w:rsidR="00CE201E">
        <w:t>.  The investigator may establish restrictions regarding the extent to which the parties and/or their advisor(s) may participate in the grievance proceedings, as long as the restrictions apply equally to both parties</w:t>
      </w:r>
      <w:r w:rsidRPr="00264F22">
        <w:t>;</w:t>
      </w:r>
    </w:p>
    <w:p w14:paraId="0BAA393C" w14:textId="77777777" w:rsidR="00D4538D" w:rsidRPr="00264F22" w:rsidRDefault="00D4538D" w:rsidP="00B84E6E">
      <w:pPr>
        <w:pStyle w:val="NumBulletHeader"/>
        <w:numPr>
          <w:ilvl w:val="0"/>
          <w:numId w:val="7"/>
        </w:numPr>
        <w:ind w:left="720" w:hanging="720"/>
      </w:pPr>
      <w:r w:rsidRPr="00264F22">
        <w:t>Prohibits the gathering of information protected by a legally recognized privilege (e.g., doctor-patient, attorney-client) without the appropriate party’</w:t>
      </w:r>
      <w:r w:rsidR="00FA6FC4" w:rsidRPr="00264F22">
        <w:t xml:space="preserve">s voluntary, written </w:t>
      </w:r>
      <w:r w:rsidRPr="00264F22">
        <w:t>waiver;</w:t>
      </w:r>
    </w:p>
    <w:p w14:paraId="1C6269A6" w14:textId="3B4E1FEF" w:rsidR="00645939" w:rsidRPr="00264F22" w:rsidRDefault="008328B6" w:rsidP="00B84E6E">
      <w:pPr>
        <w:pStyle w:val="NumBulletHeader"/>
        <w:numPr>
          <w:ilvl w:val="0"/>
          <w:numId w:val="7"/>
        </w:numPr>
        <w:ind w:left="720" w:hanging="720"/>
      </w:pPr>
      <w:r>
        <w:t>Provide</w:t>
      </w:r>
      <w:r w:rsidR="005B5E12">
        <w:t xml:space="preserve">, to a party whose participation is invited or expected, </w:t>
      </w:r>
      <w:r w:rsidR="00645939" w:rsidRPr="00264F22">
        <w:t xml:space="preserve">written notice </w:t>
      </w:r>
      <w:r w:rsidR="00E46533">
        <w:t xml:space="preserve">of the date, time, location, participants, and purpose of the </w:t>
      </w:r>
      <w:r w:rsidR="005B5E12">
        <w:t xml:space="preserve">investigative </w:t>
      </w:r>
      <w:r w:rsidR="00E46533">
        <w:t>interview</w:t>
      </w:r>
      <w:r w:rsidR="005B5E12">
        <w:t>s</w:t>
      </w:r>
      <w:r w:rsidR="00E46533">
        <w:t xml:space="preserve"> or meeting</w:t>
      </w:r>
      <w:r w:rsidR="005B5E12">
        <w:t>s</w:t>
      </w:r>
      <w:r w:rsidR="00E46533">
        <w:t xml:space="preserve">, </w:t>
      </w:r>
      <w:r w:rsidR="005B5E12">
        <w:t>with</w:t>
      </w:r>
      <w:r w:rsidR="0024595B">
        <w:t xml:space="preserve"> </w:t>
      </w:r>
      <w:r w:rsidR="00E46533">
        <w:t>sufficient time for the party to prepare to participate</w:t>
      </w:r>
      <w:r w:rsidR="00645939" w:rsidRPr="00264F22">
        <w:t>; and</w:t>
      </w:r>
    </w:p>
    <w:p w14:paraId="067BB749" w14:textId="18DDE920" w:rsidR="00645939" w:rsidRPr="00264F22" w:rsidRDefault="00645939" w:rsidP="00B84E6E">
      <w:pPr>
        <w:pStyle w:val="NumBulletHeader"/>
        <w:numPr>
          <w:ilvl w:val="0"/>
          <w:numId w:val="7"/>
        </w:numPr>
        <w:spacing w:after="240"/>
        <w:ind w:left="720" w:hanging="720"/>
      </w:pPr>
      <w:r w:rsidRPr="00264F22">
        <w:t xml:space="preserve">Provides both parties </w:t>
      </w:r>
      <w:r w:rsidR="00E46533">
        <w:t>and their advisors</w:t>
      </w:r>
      <w:r w:rsidR="00B223E5">
        <w:t xml:space="preserve">, </w:t>
      </w:r>
      <w:r w:rsidR="00E46533">
        <w:t>if any</w:t>
      </w:r>
      <w:r w:rsidR="00B223E5">
        <w:t>,</w:t>
      </w:r>
      <w:r w:rsidR="00E46533">
        <w:t xml:space="preserve"> </w:t>
      </w:r>
      <w:r w:rsidR="00BD5064" w:rsidRPr="00264F22">
        <w:t xml:space="preserve">an </w:t>
      </w:r>
      <w:r w:rsidRPr="00264F22">
        <w:t>equal opportunity to review and respond to the evi</w:t>
      </w:r>
      <w:r w:rsidR="00D2632F" w:rsidRPr="00264F22">
        <w:t>d</w:t>
      </w:r>
      <w:r w:rsidRPr="00264F22">
        <w:t>ence gathered during the investigation</w:t>
      </w:r>
      <w:r w:rsidR="00D2632F" w:rsidRPr="00264F22">
        <w:t xml:space="preserve"> when such evidence is directly related </w:t>
      </w:r>
      <w:r w:rsidR="001F2CC8" w:rsidRPr="00264F22">
        <w:t>to the allegations set forth in the formal complaint</w:t>
      </w:r>
      <w:r w:rsidRPr="00264F22">
        <w:t>.</w:t>
      </w:r>
      <w:r w:rsidR="00F935E1" w:rsidRPr="00264F22">
        <w:t xml:space="preserve">  The parties must be provided at least </w:t>
      </w:r>
      <w:r w:rsidR="00F6732F" w:rsidRPr="00264F22">
        <w:t xml:space="preserve">ten </w:t>
      </w:r>
      <w:r w:rsidR="004322C2" w:rsidRPr="00FC4FA7">
        <w:t>school</w:t>
      </w:r>
      <w:r w:rsidR="00FC4FA7">
        <w:rPr>
          <w:b/>
          <w:bCs/>
        </w:rPr>
        <w:t xml:space="preserve"> </w:t>
      </w:r>
      <w:r w:rsidR="00F935E1" w:rsidRPr="00264F22">
        <w:t>days to</w:t>
      </w:r>
      <w:r w:rsidR="00390F27" w:rsidRPr="00264F22">
        <w:t xml:space="preserve"> review and</w:t>
      </w:r>
      <w:r w:rsidR="00F935E1" w:rsidRPr="00264F22">
        <w:t xml:space="preserve"> </w:t>
      </w:r>
      <w:r w:rsidR="005B5E12">
        <w:t xml:space="preserve">submit a written response </w:t>
      </w:r>
      <w:r w:rsidR="00F935E1" w:rsidRPr="00264F22">
        <w:t>to the evidence</w:t>
      </w:r>
      <w:r w:rsidR="00390F27" w:rsidRPr="00264F22">
        <w:t xml:space="preserve"> gathered</w:t>
      </w:r>
      <w:r w:rsidR="005B5E12">
        <w:t>, which the investigator will consider prior to the completion of the investigative report</w:t>
      </w:r>
      <w:r w:rsidR="00F935E1" w:rsidRPr="00264F22">
        <w:t>.</w:t>
      </w:r>
    </w:p>
    <w:p w14:paraId="533324EA" w14:textId="41360DB9" w:rsidR="008F0042" w:rsidRDefault="00CD500A" w:rsidP="008F0042">
      <w:pPr>
        <w:pStyle w:val="Paragraph"/>
      </w:pPr>
      <w:r>
        <w:t>T</w:t>
      </w:r>
      <w:r w:rsidR="00645939">
        <w:t xml:space="preserve">he </w:t>
      </w:r>
      <w:r w:rsidR="008510DF" w:rsidRPr="00FC4FA7">
        <w:rPr>
          <w:bCs/>
        </w:rPr>
        <w:t>Title IX Coordinator</w:t>
      </w:r>
      <w:r w:rsidR="008510DF">
        <w:rPr>
          <w:b/>
        </w:rPr>
        <w:t xml:space="preserve"> </w:t>
      </w:r>
      <w:r w:rsidR="005254C9">
        <w:t xml:space="preserve">or other designated investigator </w:t>
      </w:r>
      <w:r w:rsidR="007B191E">
        <w:t>must</w:t>
      </w:r>
      <w:r w:rsidR="00645939">
        <w:t xml:space="preserve"> recognize a presumption of non-responsibility on the part of the respondent until conclusion of the investigation.</w:t>
      </w:r>
      <w:r w:rsidR="00390F27">
        <w:t xml:space="preserve">  T</w:t>
      </w:r>
      <w:r w:rsidR="008F0042" w:rsidRPr="008F0042">
        <w:t xml:space="preserve">he investigation must be completed as soon as </w:t>
      </w:r>
      <w:r w:rsidR="00606CBA">
        <w:t xml:space="preserve">reasonably </w:t>
      </w:r>
      <w:r w:rsidR="008F0042" w:rsidRPr="008F0042">
        <w:t>practical</w:t>
      </w:r>
      <w:r w:rsidR="00BD4804">
        <w:t xml:space="preserve"> and in line with the deadlines for completion of the formal resolution procedure as set forth herein</w:t>
      </w:r>
      <w:r w:rsidR="008F0042" w:rsidRPr="008F0042">
        <w:t>.</w:t>
      </w:r>
    </w:p>
    <w:p w14:paraId="6C1C0417" w14:textId="77777777" w:rsidR="008F0042" w:rsidRPr="008F0042" w:rsidRDefault="008F0042" w:rsidP="008F0042">
      <w:pPr>
        <w:pStyle w:val="Heading1"/>
      </w:pPr>
      <w:r w:rsidRPr="008F0042">
        <w:t>Investigation Report</w:t>
      </w:r>
    </w:p>
    <w:p w14:paraId="09D5D374" w14:textId="07040267" w:rsidR="008C65B8" w:rsidRPr="00DF2204" w:rsidRDefault="008F0042" w:rsidP="00964ED8">
      <w:pPr>
        <w:pStyle w:val="Paragraph"/>
      </w:pPr>
      <w:r w:rsidRPr="008F0042">
        <w:t xml:space="preserve">After the </w:t>
      </w:r>
      <w:r w:rsidR="00390F27">
        <w:t>investigation</w:t>
      </w:r>
      <w:r w:rsidRPr="008F0042">
        <w:t xml:space="preserve"> process is complete</w:t>
      </w:r>
      <w:r w:rsidR="00FA6FC4">
        <w:t>,</w:t>
      </w:r>
      <w:r w:rsidRPr="008F0042">
        <w:t xml:space="preserve"> the </w:t>
      </w:r>
      <w:r w:rsidR="008510DF" w:rsidRPr="00FC4FA7">
        <w:rPr>
          <w:bCs/>
        </w:rPr>
        <w:t>Title IX Coordinator</w:t>
      </w:r>
      <w:r w:rsidRPr="008F0042">
        <w:t xml:space="preserve"> </w:t>
      </w:r>
      <w:r w:rsidR="005254C9">
        <w:t>or other designated investigator</w:t>
      </w:r>
      <w:r w:rsidR="005254C9" w:rsidRPr="008F0042">
        <w:t xml:space="preserve"> </w:t>
      </w:r>
      <w:r w:rsidRPr="008F0042">
        <w:t xml:space="preserve">shall complete a written report </w:t>
      </w:r>
      <w:r w:rsidR="00645939">
        <w:t xml:space="preserve">summarizing the relevant evidence and provide a copy of the </w:t>
      </w:r>
      <w:r w:rsidR="004E4CE1">
        <w:t xml:space="preserve">completed </w:t>
      </w:r>
      <w:r w:rsidR="00645939">
        <w:t>report to the complainant</w:t>
      </w:r>
      <w:r w:rsidR="00D0451C">
        <w:t>,</w:t>
      </w:r>
      <w:r w:rsidR="00645939">
        <w:t xml:space="preserve"> respondent</w:t>
      </w:r>
      <w:r w:rsidR="00D0451C">
        <w:t xml:space="preserve">, </w:t>
      </w:r>
      <w:r w:rsidR="002E61F4">
        <w:t xml:space="preserve">and </w:t>
      </w:r>
      <w:r w:rsidR="00D0451C">
        <w:t>their advisor</w:t>
      </w:r>
      <w:r w:rsidR="00B223E5">
        <w:t>(</w:t>
      </w:r>
      <w:r w:rsidR="00D0451C">
        <w:t>s</w:t>
      </w:r>
      <w:r w:rsidR="00B223E5">
        <w:t xml:space="preserve">), </w:t>
      </w:r>
      <w:r w:rsidR="00D0451C">
        <w:t>if any</w:t>
      </w:r>
      <w:r w:rsidR="00645939">
        <w:t>.</w:t>
      </w:r>
      <w:r w:rsidR="00771050">
        <w:t xml:space="preserve"> </w:t>
      </w:r>
      <w:r w:rsidR="002E61F4">
        <w:t xml:space="preserve"> The</w:t>
      </w:r>
      <w:r w:rsidR="00771050">
        <w:t xml:space="preserve"> </w:t>
      </w:r>
      <w:r w:rsidR="00771050" w:rsidRPr="00FC4FA7">
        <w:rPr>
          <w:bCs/>
        </w:rPr>
        <w:t>Title IX Coordinator</w:t>
      </w:r>
      <w:r w:rsidR="00771050">
        <w:rPr>
          <w:b/>
        </w:rPr>
        <w:t xml:space="preserve"> </w:t>
      </w:r>
      <w:r w:rsidR="00771050">
        <w:t xml:space="preserve">or other designated investigator shall provide a copy of the investigation report to the </w:t>
      </w:r>
      <w:r w:rsidR="0024595B">
        <w:t xml:space="preserve">designated </w:t>
      </w:r>
      <w:r w:rsidR="00771050">
        <w:t>decision-maker.</w:t>
      </w:r>
    </w:p>
    <w:p w14:paraId="5DC82ED7" w14:textId="4FA6AA70" w:rsidR="00CE201E" w:rsidRDefault="00CE201E" w:rsidP="00DF2204">
      <w:pPr>
        <w:pStyle w:val="Paragraph"/>
        <w:spacing w:after="0"/>
        <w:rPr>
          <w:b/>
        </w:rPr>
      </w:pPr>
      <w:r>
        <w:rPr>
          <w:b/>
        </w:rPr>
        <w:t>Submission of Questions and Responses to Report</w:t>
      </w:r>
    </w:p>
    <w:p w14:paraId="6B1DCE99" w14:textId="23256634" w:rsidR="00BC1BC5" w:rsidRDefault="007B191E" w:rsidP="00BC1BC5">
      <w:pPr>
        <w:pStyle w:val="Paragraph"/>
      </w:pPr>
      <w:r w:rsidRPr="00FC4FA7">
        <w:rPr>
          <w:bCs/>
        </w:rPr>
        <w:t xml:space="preserve">Within five </w:t>
      </w:r>
      <w:r w:rsidR="00F44693" w:rsidRPr="00FC4FA7">
        <w:rPr>
          <w:bCs/>
        </w:rPr>
        <w:t>school</w:t>
      </w:r>
      <w:r w:rsidR="00FC4FA7" w:rsidRPr="00FC4FA7">
        <w:rPr>
          <w:bCs/>
        </w:rPr>
        <w:t xml:space="preserve"> </w:t>
      </w:r>
      <w:r w:rsidRPr="00FC4FA7">
        <w:rPr>
          <w:bCs/>
        </w:rPr>
        <w:t>days</w:t>
      </w:r>
      <w:r w:rsidRPr="00FC4FA7">
        <w:t xml:space="preserve"> of</w:t>
      </w:r>
      <w:r w:rsidR="008C65B8">
        <w:t xml:space="preserve"> receipt of the investigation report, the parties may submit </w:t>
      </w:r>
      <w:r w:rsidR="000D5284">
        <w:t xml:space="preserve">relevant </w:t>
      </w:r>
      <w:r w:rsidR="008C65B8">
        <w:t xml:space="preserve">written questions </w:t>
      </w:r>
      <w:r w:rsidR="001F2CC8">
        <w:t xml:space="preserve">to the </w:t>
      </w:r>
      <w:r w:rsidR="00FC4FA7">
        <w:t xml:space="preserve">Board President </w:t>
      </w:r>
      <w:r w:rsidR="005254C9">
        <w:t xml:space="preserve">or other designated </w:t>
      </w:r>
      <w:r w:rsidR="002E61F4">
        <w:t xml:space="preserve">decision-maker </w:t>
      </w:r>
      <w:r w:rsidR="008C65B8">
        <w:t>for the other parties and</w:t>
      </w:r>
      <w:r w:rsidR="002E61F4">
        <w:t>/or</w:t>
      </w:r>
      <w:r w:rsidR="008C65B8">
        <w:t xml:space="preserve"> witnesses to answer before a determination regarding responsibility is reached.  At no time</w:t>
      </w:r>
      <w:r w:rsidR="008C65B8" w:rsidRPr="00AE42CE">
        <w:t xml:space="preserve"> </w:t>
      </w:r>
      <w:r w:rsidR="008C65B8">
        <w:t xml:space="preserve">will the complainant be required to answer questions or provide evidence regarding the complainant’s sexual </w:t>
      </w:r>
      <w:r w:rsidR="001F2CC8">
        <w:t>behavior or predisposition</w:t>
      </w:r>
      <w:r w:rsidR="00301820">
        <w:t>,</w:t>
      </w:r>
      <w:r w:rsidR="001F2CC8">
        <w:t xml:space="preserve"> unless offered to prove someone other than the respondent committed the alleged conduct</w:t>
      </w:r>
      <w:r w:rsidR="00CF64B8">
        <w:t>, or if the questions and evidence concern specific incidents of the complainant’s prior sexual behavior with respect to the respondent and are offered to prove consent</w:t>
      </w:r>
      <w:r w:rsidR="00301820">
        <w:t xml:space="preserve"> to sexual contact</w:t>
      </w:r>
      <w:r w:rsidR="008C65B8">
        <w:t>.</w:t>
      </w:r>
    </w:p>
    <w:p w14:paraId="718BAC08" w14:textId="5C28C747" w:rsidR="00645939" w:rsidRDefault="001F2CC8" w:rsidP="00964ED8">
      <w:pPr>
        <w:pStyle w:val="Paragraph"/>
      </w:pPr>
      <w:r>
        <w:t>Upon receipt of w</w:t>
      </w:r>
      <w:r w:rsidR="000D5284">
        <w:t>ritten questions</w:t>
      </w:r>
      <w:r>
        <w:t xml:space="preserve"> from a party,</w:t>
      </w:r>
      <w:r w:rsidR="000D5284">
        <w:t xml:space="preserve"> the </w:t>
      </w:r>
      <w:r w:rsidR="00FC4FA7">
        <w:t xml:space="preserve">Board President </w:t>
      </w:r>
      <w:r w:rsidR="005254C9">
        <w:t xml:space="preserve">or other designated </w:t>
      </w:r>
      <w:r w:rsidR="00CF64B8">
        <w:t xml:space="preserve">decision-maker </w:t>
      </w:r>
      <w:r w:rsidR="000D5284">
        <w:t xml:space="preserve">will pass on appropriate and relevant questions to the party or witness for response.  Written responses shall be </w:t>
      </w:r>
      <w:r w:rsidR="005254C9">
        <w:t xml:space="preserve">promptly </w:t>
      </w:r>
      <w:r w:rsidR="000D5284">
        <w:t xml:space="preserve">submitted to the </w:t>
      </w:r>
      <w:r w:rsidR="00FC4FA7" w:rsidRPr="00FC4FA7">
        <w:t>Board President</w:t>
      </w:r>
      <w:r w:rsidR="005254C9">
        <w:rPr>
          <w:b/>
        </w:rPr>
        <w:t xml:space="preserve"> </w:t>
      </w:r>
      <w:r w:rsidR="005254C9">
        <w:t xml:space="preserve">or other designated </w:t>
      </w:r>
      <w:r w:rsidR="00CF64B8">
        <w:t>decision-maker</w:t>
      </w:r>
      <w:r w:rsidR="000D5284">
        <w:t xml:space="preserve">, who will then </w:t>
      </w:r>
      <w:r>
        <w:t>provide</w:t>
      </w:r>
      <w:r w:rsidR="000D5284">
        <w:t xml:space="preserve"> the written responses to </w:t>
      </w:r>
      <w:r>
        <w:t xml:space="preserve">both parties.  The parties may submit reasonable and relevant follow-up questions to the </w:t>
      </w:r>
      <w:r w:rsidR="00FC4FA7" w:rsidRPr="00FC4FA7">
        <w:t>Board President</w:t>
      </w:r>
      <w:r w:rsidR="00CF64B8">
        <w:rPr>
          <w:b/>
        </w:rPr>
        <w:t xml:space="preserve"> </w:t>
      </w:r>
      <w:r w:rsidR="00CF64B8">
        <w:t>or other designated decision-maker</w:t>
      </w:r>
      <w:r>
        <w:t xml:space="preserve"> for answer by the other party or a witness in the same manner as initial written questions.</w:t>
      </w:r>
    </w:p>
    <w:p w14:paraId="641F6144" w14:textId="57F27B7F" w:rsidR="00CF64B8" w:rsidRDefault="00CF64B8" w:rsidP="00964ED8">
      <w:pPr>
        <w:pStyle w:val="Paragraph"/>
      </w:pPr>
      <w:r>
        <w:t xml:space="preserve">The </w:t>
      </w:r>
      <w:r w:rsidR="00FC4FA7">
        <w:t xml:space="preserve">Board President </w:t>
      </w:r>
      <w:r>
        <w:t>or other designated decision-maker must explain to the party proposing the questions any decision to exclude a question as not relevant.</w:t>
      </w:r>
    </w:p>
    <w:p w14:paraId="165390D7" w14:textId="5AE38262" w:rsidR="00390F27" w:rsidRPr="00FA6FC4" w:rsidRDefault="00BD4804" w:rsidP="00FA6FC4">
      <w:pPr>
        <w:pStyle w:val="Paragraph"/>
      </w:pPr>
      <w:r>
        <w:t xml:space="preserve">Within ten </w:t>
      </w:r>
      <w:r w:rsidR="00F44693" w:rsidRPr="00D56785">
        <w:rPr>
          <w:bCs/>
        </w:rPr>
        <w:t>school</w:t>
      </w:r>
      <w:r w:rsidR="00F44693">
        <w:t xml:space="preserve"> </w:t>
      </w:r>
      <w:r>
        <w:t xml:space="preserve">days of receipt of the investigation report, the parties may submit a written response to the report to the </w:t>
      </w:r>
      <w:r w:rsidR="008510DF" w:rsidRPr="00D56785">
        <w:rPr>
          <w:bCs/>
        </w:rPr>
        <w:t>Title IX Coordinator</w:t>
      </w:r>
      <w:r w:rsidR="005254C9" w:rsidRPr="005254C9">
        <w:t xml:space="preserve"> </w:t>
      </w:r>
      <w:r w:rsidR="005254C9">
        <w:t>or other designated investigator</w:t>
      </w:r>
      <w:r>
        <w:t>.</w:t>
      </w:r>
      <w:r w:rsidR="001F2CC8">
        <w:t xml:space="preserve">  The deadline to submit a written response to the investigation report may not be delayed by the submission or pendency of written questions.</w:t>
      </w:r>
      <w:r w:rsidR="00380AEB">
        <w:t xml:space="preserve">  </w:t>
      </w:r>
    </w:p>
    <w:p w14:paraId="1EE84B2B" w14:textId="77777777" w:rsidR="00221998" w:rsidRPr="00264F22" w:rsidRDefault="00221998" w:rsidP="00264F22">
      <w:pPr>
        <w:pStyle w:val="Heading1"/>
      </w:pPr>
      <w:r w:rsidRPr="00264F22">
        <w:t>Standard of Evidence</w:t>
      </w:r>
    </w:p>
    <w:p w14:paraId="04895F20" w14:textId="60486718" w:rsidR="0014026F" w:rsidRDefault="00221998" w:rsidP="00BC1BC5">
      <w:pPr>
        <w:pStyle w:val="Paragraph"/>
        <w:rPr>
          <w:b/>
        </w:rPr>
      </w:pPr>
      <w:r w:rsidRPr="00D56785">
        <w:rPr>
          <w:b/>
          <w:shd w:val="clear" w:color="auto" w:fill="FFFFCC"/>
        </w:rPr>
        <w:t xml:space="preserve">The </w:t>
      </w:r>
      <w:r w:rsidR="00891F59" w:rsidRPr="00D56785">
        <w:rPr>
          <w:b/>
          <w:shd w:val="clear" w:color="auto" w:fill="FFFFCC"/>
        </w:rPr>
        <w:t>Unit</w:t>
      </w:r>
      <w:r w:rsidRPr="00D56785">
        <w:rPr>
          <w:b/>
          <w:shd w:val="clear" w:color="auto" w:fill="FFFFCC"/>
        </w:rPr>
        <w:t xml:space="preserve"> designates the preponderance of the evidence standard for use in all formal complaints of sexual harassment</w:t>
      </w:r>
      <w:r w:rsidR="00C8358D" w:rsidRPr="00D56785">
        <w:rPr>
          <w:b/>
          <w:shd w:val="clear" w:color="auto" w:fill="FFFFCC"/>
        </w:rPr>
        <w:t>, including formal complaints against students and formal complaints against employees</w:t>
      </w:r>
      <w:r w:rsidRPr="00D56785">
        <w:rPr>
          <w:b/>
          <w:shd w:val="clear" w:color="auto" w:fill="FFFFCC"/>
        </w:rPr>
        <w:t>.</w:t>
      </w:r>
      <w:r w:rsidR="001B2558" w:rsidRPr="00D56785">
        <w:rPr>
          <w:b/>
          <w:shd w:val="clear" w:color="auto" w:fill="FFFFCC"/>
        </w:rPr>
        <w:t xml:space="preserve">  To meet this standard, the decision</w:t>
      </w:r>
      <w:r w:rsidR="00BD5064" w:rsidRPr="00D56785">
        <w:rPr>
          <w:b/>
          <w:shd w:val="clear" w:color="auto" w:fill="FFFFCC"/>
        </w:rPr>
        <w:t>-</w:t>
      </w:r>
      <w:r w:rsidR="001B2558" w:rsidRPr="00D56785">
        <w:rPr>
          <w:b/>
          <w:shd w:val="clear" w:color="auto" w:fill="FFFFCC"/>
        </w:rPr>
        <w:t>maker must determine that conduct constituting sexual harassment in violation of Title IX more likely than not occurred</w:t>
      </w:r>
      <w:r w:rsidR="001B2558" w:rsidRPr="00D56785">
        <w:rPr>
          <w:b/>
        </w:rPr>
        <w:t>.</w:t>
      </w:r>
    </w:p>
    <w:p w14:paraId="63B4E317" w14:textId="75045DDF" w:rsidR="004E4CE1" w:rsidRPr="00264F22" w:rsidRDefault="004E4CE1" w:rsidP="00264F22">
      <w:pPr>
        <w:pStyle w:val="Heading1"/>
      </w:pPr>
      <w:r w:rsidRPr="00264F22">
        <w:t>Determination of Responsibility</w:t>
      </w:r>
      <w:r w:rsidR="00221998" w:rsidRPr="00264F22">
        <w:t xml:space="preserve"> </w:t>
      </w:r>
      <w:r w:rsidR="008C65B8" w:rsidRPr="00264F22">
        <w:t>by Decision</w:t>
      </w:r>
      <w:r w:rsidR="00BD5064" w:rsidRPr="00264F22">
        <w:t>-</w:t>
      </w:r>
      <w:r w:rsidR="008C65B8" w:rsidRPr="00264F22">
        <w:t>Maker</w:t>
      </w:r>
    </w:p>
    <w:p w14:paraId="2D78E67D" w14:textId="21F77551" w:rsidR="004627DC" w:rsidRPr="00066188" w:rsidRDefault="00380AEB" w:rsidP="00066188">
      <w:pPr>
        <w:pStyle w:val="Paragraph"/>
      </w:pPr>
      <w:r w:rsidRPr="00066188">
        <w:t xml:space="preserve">Following </w:t>
      </w:r>
      <w:r w:rsidR="00F22892">
        <w:t xml:space="preserve">the </w:t>
      </w:r>
      <w:r w:rsidRPr="00066188">
        <w:t xml:space="preserve">receipt of </w:t>
      </w:r>
      <w:r w:rsidR="00CE201E">
        <w:t xml:space="preserve">responses to </w:t>
      </w:r>
      <w:r w:rsidRPr="00066188">
        <w:t xml:space="preserve">any written </w:t>
      </w:r>
      <w:r w:rsidR="00F22892">
        <w:t xml:space="preserve">questions </w:t>
      </w:r>
      <w:r w:rsidR="00CE201E">
        <w:t>and the</w:t>
      </w:r>
      <w:r w:rsidR="00F22892">
        <w:t xml:space="preserve"> </w:t>
      </w:r>
      <w:r w:rsidRPr="00066188">
        <w:t>response</w:t>
      </w:r>
      <w:r w:rsidR="00FA6FC4" w:rsidRPr="00066188">
        <w:t>s</w:t>
      </w:r>
      <w:r w:rsidRPr="00066188">
        <w:t xml:space="preserve"> to the </w:t>
      </w:r>
      <w:r w:rsidR="00F22892">
        <w:t xml:space="preserve">investigation </w:t>
      </w:r>
      <w:r w:rsidRPr="00066188">
        <w:t>report by the complainant and respondent</w:t>
      </w:r>
      <w:r w:rsidR="004E4CE1" w:rsidRPr="00066188">
        <w:t xml:space="preserve">, the </w:t>
      </w:r>
      <w:r w:rsidR="00D56785">
        <w:t>Board President</w:t>
      </w:r>
      <w:r w:rsidR="005254C9" w:rsidRPr="00066188">
        <w:t xml:space="preserve"> or other designated </w:t>
      </w:r>
      <w:r w:rsidR="0002557D" w:rsidRPr="00066188">
        <w:t>decision</w:t>
      </w:r>
      <w:r w:rsidR="00BD5064" w:rsidRPr="00066188">
        <w:t>-</w:t>
      </w:r>
      <w:r w:rsidR="0002557D" w:rsidRPr="00066188">
        <w:t>maker</w:t>
      </w:r>
      <w:r w:rsidR="004E4CE1" w:rsidRPr="00066188">
        <w:t xml:space="preserve"> shall reach a determination regarding r</w:t>
      </w:r>
      <w:r w:rsidR="00221998" w:rsidRPr="00066188">
        <w:t xml:space="preserve">esponsibility by applying the </w:t>
      </w:r>
      <w:r w:rsidR="00221998" w:rsidRPr="00D56785">
        <w:t>preponderance of the evidence</w:t>
      </w:r>
      <w:r w:rsidR="00D56785">
        <w:rPr>
          <w:b/>
          <w:bCs/>
        </w:rPr>
        <w:t xml:space="preserve"> </w:t>
      </w:r>
      <w:r w:rsidR="00221998" w:rsidRPr="00066188">
        <w:t>standard</w:t>
      </w:r>
      <w:r w:rsidR="00EF602B" w:rsidRPr="00066188">
        <w:t>.</w:t>
      </w:r>
    </w:p>
    <w:p w14:paraId="319C8BA3" w14:textId="383DB0D5" w:rsidR="001B2558" w:rsidRDefault="00221998" w:rsidP="008F0042">
      <w:pPr>
        <w:pStyle w:val="Paragraph"/>
      </w:pPr>
      <w:r>
        <w:t>In reaching a determination</w:t>
      </w:r>
      <w:r w:rsidR="004769F8">
        <w:t xml:space="preserve"> on responsibility</w:t>
      </w:r>
      <w:r>
        <w:t xml:space="preserve">, the </w:t>
      </w:r>
      <w:r w:rsidR="00D56785">
        <w:t xml:space="preserve">Board President </w:t>
      </w:r>
      <w:r w:rsidR="0002557D">
        <w:t>or other designated decision</w:t>
      </w:r>
      <w:r w:rsidR="00BD5064">
        <w:t>-m</w:t>
      </w:r>
      <w:r w:rsidR="0002557D">
        <w:t xml:space="preserve">aker </w:t>
      </w:r>
      <w:r w:rsidR="001B2558">
        <w:t>must objectively evaluate all relevant evidence, including inculpatory and exculpatory evide</w:t>
      </w:r>
      <w:r w:rsidR="008C65B8">
        <w:t xml:space="preserve">nce.  </w:t>
      </w:r>
      <w:r w:rsidR="0014026F">
        <w:t>In doing so, the</w:t>
      </w:r>
      <w:r w:rsidR="004627DC">
        <w:rPr>
          <w:b/>
        </w:rPr>
        <w:t xml:space="preserve"> </w:t>
      </w:r>
      <w:r w:rsidR="00D56785" w:rsidRPr="00D56785">
        <w:rPr>
          <w:bCs/>
        </w:rPr>
        <w:t>Board President</w:t>
      </w:r>
      <w:r w:rsidR="00380AEB">
        <w:rPr>
          <w:b/>
        </w:rPr>
        <w:t xml:space="preserve"> </w:t>
      </w:r>
      <w:r w:rsidR="0002557D">
        <w:t>or other designated decision</w:t>
      </w:r>
      <w:r w:rsidR="00BD5064">
        <w:t>-</w:t>
      </w:r>
      <w:r w:rsidR="0002557D">
        <w:t xml:space="preserve">maker </w:t>
      </w:r>
      <w:r w:rsidR="008C65B8">
        <w:t>may make credibility judgments based on, for example, factors of plausibility and consistency in party and witness statements.</w:t>
      </w:r>
      <w:r w:rsidR="00CE201E">
        <w:t xml:space="preserve">  Credibility determinations may not be based on a person’s status as a complainant, respondent, or witness. </w:t>
      </w:r>
      <w:r w:rsidR="008C65B8">
        <w:t xml:space="preserve"> </w:t>
      </w:r>
      <w:r w:rsidR="00066188">
        <w:t xml:space="preserve"> </w:t>
      </w:r>
      <w:r w:rsidR="008C65B8">
        <w:t>Corroborating evidence is not required to reach a determination of responsibility on the part of the respondent.</w:t>
      </w:r>
    </w:p>
    <w:p w14:paraId="5DA5AB14" w14:textId="5A8ABC5A" w:rsidR="00D60367" w:rsidRPr="00066188" w:rsidRDefault="00C52B91" w:rsidP="00625DE7">
      <w:pPr>
        <w:pStyle w:val="Paragraph"/>
        <w:spacing w:after="0"/>
      </w:pPr>
      <w:r w:rsidRPr="00066188">
        <w:t xml:space="preserve">If the </w:t>
      </w:r>
      <w:r w:rsidR="00D56785">
        <w:t xml:space="preserve">Board President </w:t>
      </w:r>
      <w:r w:rsidR="0002557D" w:rsidRPr="00066188">
        <w:t>or other designated decision</w:t>
      </w:r>
      <w:r w:rsidR="00BD5064" w:rsidRPr="00066188">
        <w:t>-</w:t>
      </w:r>
      <w:r w:rsidR="0002557D" w:rsidRPr="00066188">
        <w:t xml:space="preserve">maker </w:t>
      </w:r>
      <w:r w:rsidRPr="00066188">
        <w:t xml:space="preserve">determines the respondent engaged in sexual harassment in violation of Title IX, </w:t>
      </w:r>
      <w:r w:rsidR="0014026F" w:rsidRPr="00066188">
        <w:t>the</w:t>
      </w:r>
      <w:r w:rsidR="004627DC" w:rsidRPr="00066188">
        <w:t xml:space="preserve"> </w:t>
      </w:r>
      <w:r w:rsidR="00D56785">
        <w:t>Board President</w:t>
      </w:r>
      <w:r w:rsidR="00380AEB" w:rsidRPr="00066188">
        <w:t xml:space="preserve"> </w:t>
      </w:r>
      <w:r w:rsidR="0002557D" w:rsidRPr="00066188">
        <w:t>or other designated decision</w:t>
      </w:r>
      <w:r w:rsidR="00BD5064" w:rsidRPr="00066188">
        <w:t>-</w:t>
      </w:r>
      <w:r w:rsidR="0002557D" w:rsidRPr="00066188">
        <w:t xml:space="preserve">maker </w:t>
      </w:r>
      <w:r w:rsidR="00122BBE" w:rsidRPr="00066188">
        <w:t>must determine whether disci</w:t>
      </w:r>
      <w:r w:rsidR="00C8358D" w:rsidRPr="00066188">
        <w:t xml:space="preserve">plinary </w:t>
      </w:r>
      <w:r w:rsidR="00D60367" w:rsidRPr="00066188">
        <w:t xml:space="preserve">or punitive </w:t>
      </w:r>
      <w:r w:rsidR="00C8358D" w:rsidRPr="00066188">
        <w:t xml:space="preserve">sanctions </w:t>
      </w:r>
      <w:r w:rsidR="00EF602B" w:rsidRPr="00066188">
        <w:t xml:space="preserve">against the respondent </w:t>
      </w:r>
      <w:r w:rsidR="00C8358D" w:rsidRPr="00066188">
        <w:t>are warranted, and if so, what those sanctions should be.</w:t>
      </w:r>
      <w:r w:rsidR="00EF602B" w:rsidRPr="00066188">
        <w:t xml:space="preserve">  </w:t>
      </w:r>
      <w:r w:rsidR="00D60367" w:rsidRPr="00066188">
        <w:t>Disciplinary or punitive measures may include, but are not limited to:</w:t>
      </w:r>
    </w:p>
    <w:p w14:paraId="37A10751" w14:textId="77777777" w:rsidR="00D60367" w:rsidRPr="00066188" w:rsidRDefault="00D60367" w:rsidP="00DF2204">
      <w:pPr>
        <w:pStyle w:val="NumBulletHeader"/>
        <w:numPr>
          <w:ilvl w:val="0"/>
          <w:numId w:val="8"/>
        </w:numPr>
        <w:ind w:left="720" w:hanging="720"/>
      </w:pPr>
      <w:r w:rsidRPr="00066188">
        <w:t>Requiring the respondent to undergo training on harassment;</w:t>
      </w:r>
    </w:p>
    <w:p w14:paraId="37A27B3A" w14:textId="77777777" w:rsidR="00D60367" w:rsidRPr="00066188" w:rsidRDefault="00D60367" w:rsidP="00DF2204">
      <w:pPr>
        <w:pStyle w:val="NumBulletHeader"/>
        <w:numPr>
          <w:ilvl w:val="0"/>
          <w:numId w:val="8"/>
        </w:numPr>
        <w:ind w:left="720" w:hanging="720"/>
      </w:pPr>
      <w:r w:rsidRPr="00066188">
        <w:t>Requiring the respondent to undergo counseling;</w:t>
      </w:r>
    </w:p>
    <w:p w14:paraId="6F5E40E0" w14:textId="77777777" w:rsidR="00D60367" w:rsidRPr="00066188" w:rsidRDefault="00D60367" w:rsidP="00DF2204">
      <w:pPr>
        <w:pStyle w:val="NumBulletHeader"/>
        <w:numPr>
          <w:ilvl w:val="0"/>
          <w:numId w:val="8"/>
        </w:numPr>
        <w:ind w:left="720" w:hanging="720"/>
      </w:pPr>
      <w:r w:rsidRPr="00066188">
        <w:t>Recommend alternative placement or transfer of the respondent to different class(es), building, or campus;</w:t>
      </w:r>
    </w:p>
    <w:p w14:paraId="0DEBC54B" w14:textId="77777777" w:rsidR="00D60367" w:rsidRPr="00066188" w:rsidRDefault="00D60367" w:rsidP="00DF2204">
      <w:pPr>
        <w:pStyle w:val="NumBulletHeader"/>
        <w:numPr>
          <w:ilvl w:val="0"/>
          <w:numId w:val="8"/>
        </w:numPr>
        <w:ind w:left="720" w:hanging="720"/>
      </w:pPr>
      <w:r w:rsidRPr="00066188">
        <w:t>Instituting protection mechanisms for the complainant (e.g., no-contact order, security escort, safety plan);</w:t>
      </w:r>
    </w:p>
    <w:p w14:paraId="28FC81B9" w14:textId="77777777" w:rsidR="00D60367" w:rsidRPr="00066188" w:rsidRDefault="00D60367" w:rsidP="00DF2204">
      <w:pPr>
        <w:pStyle w:val="NumBulletHeader"/>
        <w:numPr>
          <w:ilvl w:val="0"/>
          <w:numId w:val="8"/>
        </w:numPr>
        <w:ind w:left="720" w:hanging="720"/>
      </w:pPr>
      <w:r w:rsidRPr="00066188">
        <w:t>Creation of behavioral adjustment plan for the respondent;</w:t>
      </w:r>
    </w:p>
    <w:p w14:paraId="7A0967E0" w14:textId="411855D2" w:rsidR="00D60367" w:rsidRPr="00066188" w:rsidRDefault="00D60367" w:rsidP="00DF2204">
      <w:pPr>
        <w:pStyle w:val="NumBulletHeader"/>
        <w:numPr>
          <w:ilvl w:val="0"/>
          <w:numId w:val="8"/>
        </w:numPr>
        <w:ind w:left="720" w:hanging="720"/>
      </w:pPr>
      <w:r w:rsidRPr="00066188">
        <w:t xml:space="preserve">In-school or out-of-school suspension for </w:t>
      </w:r>
      <w:r w:rsidR="006B1859">
        <w:t>a</w:t>
      </w:r>
      <w:r w:rsidR="006B1859" w:rsidRPr="00066188">
        <w:t xml:space="preserve"> </w:t>
      </w:r>
      <w:r w:rsidRPr="00066188">
        <w:t>respondent</w:t>
      </w:r>
      <w:r w:rsidR="006B1859">
        <w:t xml:space="preserve"> student</w:t>
      </w:r>
      <w:r w:rsidRPr="00066188">
        <w:t xml:space="preserve">; </w:t>
      </w:r>
    </w:p>
    <w:p w14:paraId="166A9C56" w14:textId="0E4CD27B" w:rsidR="006B1859" w:rsidRDefault="00D60367" w:rsidP="00DF2204">
      <w:pPr>
        <w:pStyle w:val="NumBulletHeader"/>
        <w:numPr>
          <w:ilvl w:val="0"/>
          <w:numId w:val="8"/>
        </w:numPr>
        <w:ind w:left="720" w:hanging="720"/>
      </w:pPr>
      <w:r w:rsidRPr="00066188">
        <w:t xml:space="preserve">Recommendation </w:t>
      </w:r>
      <w:r w:rsidR="006B1859">
        <w:t>for</w:t>
      </w:r>
      <w:r w:rsidR="006B1859" w:rsidRPr="00066188">
        <w:t xml:space="preserve"> </w:t>
      </w:r>
      <w:r w:rsidRPr="00066188">
        <w:t xml:space="preserve">expulsion of </w:t>
      </w:r>
      <w:r w:rsidR="006B1859">
        <w:t>a</w:t>
      </w:r>
      <w:r w:rsidRPr="00066188">
        <w:t xml:space="preserve"> respondent </w:t>
      </w:r>
      <w:r w:rsidR="006B1859">
        <w:t xml:space="preserve">student </w:t>
      </w:r>
      <w:r w:rsidRPr="00066188">
        <w:t xml:space="preserve">in accordance with </w:t>
      </w:r>
      <w:r w:rsidR="00066188" w:rsidRPr="00066188">
        <w:t xml:space="preserve">policy </w:t>
      </w:r>
      <w:r w:rsidRPr="00066188">
        <w:t>FFK</w:t>
      </w:r>
      <w:r w:rsidR="006B1859">
        <w:t xml:space="preserve">; </w:t>
      </w:r>
    </w:p>
    <w:p w14:paraId="3E23A341" w14:textId="3A84332F" w:rsidR="006B1859" w:rsidRDefault="006B1859" w:rsidP="00DF2204">
      <w:pPr>
        <w:pStyle w:val="NumBulletHeader"/>
        <w:numPr>
          <w:ilvl w:val="0"/>
          <w:numId w:val="8"/>
        </w:numPr>
        <w:ind w:left="720" w:hanging="720"/>
      </w:pPr>
      <w:r>
        <w:t xml:space="preserve">Written reprimand </w:t>
      </w:r>
      <w:r w:rsidR="00D65BCF">
        <w:t>placed in</w:t>
      </w:r>
      <w:r>
        <w:t xml:space="preserve"> a respondent employee’s personnel file; or</w:t>
      </w:r>
    </w:p>
    <w:p w14:paraId="55E2FC20" w14:textId="76F744CA" w:rsidR="00D60367" w:rsidRPr="00066188" w:rsidRDefault="006B1859" w:rsidP="00B84E6E">
      <w:pPr>
        <w:pStyle w:val="NumBulletHeader"/>
        <w:numPr>
          <w:ilvl w:val="0"/>
          <w:numId w:val="8"/>
        </w:numPr>
        <w:spacing w:after="240"/>
        <w:ind w:left="720" w:hanging="720"/>
      </w:pPr>
      <w:r>
        <w:t>Termination of employment for a respondent employee in accordance with board policy, law, and when applicable, the negotiated agreement</w:t>
      </w:r>
      <w:r w:rsidR="00D60367" w:rsidRPr="00066188">
        <w:t>.</w:t>
      </w:r>
    </w:p>
    <w:p w14:paraId="7FEF4C49" w14:textId="24EA743F" w:rsidR="00C52B91" w:rsidRDefault="00EF602B" w:rsidP="00625DE7">
      <w:pPr>
        <w:pStyle w:val="Paragraph"/>
        <w:spacing w:after="0"/>
      </w:pPr>
      <w:r>
        <w:t xml:space="preserve">In making </w:t>
      </w:r>
      <w:r w:rsidR="00D60367">
        <w:t>a decision regarding disciplinary or punitive measures</w:t>
      </w:r>
      <w:r>
        <w:t xml:space="preserve">, the </w:t>
      </w:r>
      <w:r w:rsidR="00D56785">
        <w:t xml:space="preserve">Board President </w:t>
      </w:r>
      <w:r w:rsidR="0002557D">
        <w:t>or other designated decision</w:t>
      </w:r>
      <w:r w:rsidR="00BD5064">
        <w:t>-</w:t>
      </w:r>
      <w:r w:rsidR="0002557D">
        <w:t xml:space="preserve">maker </w:t>
      </w:r>
      <w:r>
        <w:t>may consider the following criteria:</w:t>
      </w:r>
    </w:p>
    <w:p w14:paraId="1A4E859B" w14:textId="77777777" w:rsidR="00EF602B" w:rsidRPr="00066188" w:rsidRDefault="00EF602B" w:rsidP="00B84E6E">
      <w:pPr>
        <w:pStyle w:val="NumBulletHeader"/>
        <w:numPr>
          <w:ilvl w:val="0"/>
          <w:numId w:val="9"/>
        </w:numPr>
        <w:ind w:left="720" w:hanging="720"/>
      </w:pPr>
      <w:r w:rsidRPr="00066188">
        <w:t>Ages of the parties involved;</w:t>
      </w:r>
    </w:p>
    <w:p w14:paraId="5168532A" w14:textId="77777777" w:rsidR="00EF602B" w:rsidRPr="00066188" w:rsidRDefault="00EF602B" w:rsidP="00B84E6E">
      <w:pPr>
        <w:pStyle w:val="NumBulletHeader"/>
        <w:numPr>
          <w:ilvl w:val="0"/>
          <w:numId w:val="9"/>
        </w:numPr>
        <w:ind w:left="720" w:hanging="720"/>
      </w:pPr>
      <w:r w:rsidRPr="00066188">
        <w:t>Relationship between the parties involved;</w:t>
      </w:r>
    </w:p>
    <w:p w14:paraId="2A4B5384" w14:textId="77777777" w:rsidR="00EF602B" w:rsidRPr="00066188" w:rsidRDefault="00EF602B" w:rsidP="00B84E6E">
      <w:pPr>
        <w:pStyle w:val="NumBulletHeader"/>
        <w:numPr>
          <w:ilvl w:val="0"/>
          <w:numId w:val="9"/>
        </w:numPr>
        <w:ind w:left="720" w:hanging="720"/>
      </w:pPr>
      <w:r w:rsidRPr="00066188">
        <w:t>Severity of the conduct;</w:t>
      </w:r>
    </w:p>
    <w:p w14:paraId="26CFBFF4" w14:textId="77777777" w:rsidR="00EF602B" w:rsidRPr="00066188" w:rsidRDefault="00EF602B" w:rsidP="00B84E6E">
      <w:pPr>
        <w:pStyle w:val="NumBulletHeader"/>
        <w:numPr>
          <w:ilvl w:val="0"/>
          <w:numId w:val="9"/>
        </w:numPr>
        <w:ind w:left="720" w:hanging="720"/>
      </w:pPr>
      <w:r w:rsidRPr="00066188">
        <w:t>How often the conduct occurred, if applicable, and</w:t>
      </w:r>
    </w:p>
    <w:p w14:paraId="0B03B4AF" w14:textId="70D76083" w:rsidR="004200CE" w:rsidRPr="00066188" w:rsidRDefault="00EF602B" w:rsidP="00B84E6E">
      <w:pPr>
        <w:pStyle w:val="NumBulletHeader"/>
        <w:numPr>
          <w:ilvl w:val="0"/>
          <w:numId w:val="9"/>
        </w:numPr>
        <w:spacing w:after="240"/>
        <w:ind w:left="720" w:hanging="720"/>
      </w:pPr>
      <w:r w:rsidRPr="00066188">
        <w:t xml:space="preserve">How the </w:t>
      </w:r>
      <w:r w:rsidR="00891F59">
        <w:t>Unit</w:t>
      </w:r>
      <w:r w:rsidRPr="00066188">
        <w:t xml:space="preserve"> resolved similar complaints, if any, in the past.</w:t>
      </w:r>
    </w:p>
    <w:p w14:paraId="6B3EC7A3" w14:textId="119AA1C4" w:rsidR="004200CE" w:rsidRPr="001F0FCB" w:rsidRDefault="00D60367" w:rsidP="008F0042">
      <w:pPr>
        <w:pStyle w:val="Paragraph"/>
      </w:pPr>
      <w:r>
        <w:t>Upon making a determination of responsibility, t</w:t>
      </w:r>
      <w:r w:rsidR="004200CE">
        <w:t xml:space="preserve">he </w:t>
      </w:r>
      <w:r w:rsidR="00D56785" w:rsidRPr="00D56785">
        <w:rPr>
          <w:bCs/>
        </w:rPr>
        <w:t>Board President</w:t>
      </w:r>
      <w:r w:rsidR="00744ECE">
        <w:rPr>
          <w:b/>
        </w:rPr>
        <w:t xml:space="preserve"> </w:t>
      </w:r>
      <w:r w:rsidR="0002557D">
        <w:t>or other designated decision</w:t>
      </w:r>
      <w:r w:rsidR="00BD5064">
        <w:t>-</w:t>
      </w:r>
      <w:r w:rsidR="0002557D">
        <w:t xml:space="preserve">maker </w:t>
      </w:r>
      <w:r w:rsidR="004200CE">
        <w:t xml:space="preserve">must also determine any appropriate remedies to be offered to the complainant to restore or preserve the complainant’s equal access to </w:t>
      </w:r>
      <w:r w:rsidR="006B1859">
        <w:t xml:space="preserve">the </w:t>
      </w:r>
      <w:r w:rsidR="00891F59">
        <w:t>Unit</w:t>
      </w:r>
      <w:r w:rsidR="00D65BCF">
        <w:t xml:space="preserve">’s </w:t>
      </w:r>
      <w:r w:rsidR="004200CE">
        <w:t>education</w:t>
      </w:r>
      <w:r w:rsidR="006B1859">
        <w:t xml:space="preserve"> program</w:t>
      </w:r>
      <w:r w:rsidR="00D65BCF">
        <w:t>s</w:t>
      </w:r>
      <w:r w:rsidR="006B1859">
        <w:t xml:space="preserve"> or activit</w:t>
      </w:r>
      <w:r w:rsidR="00D65BCF">
        <w:t>ies</w:t>
      </w:r>
      <w:r w:rsidR="004200CE">
        <w:t>.  Such remedies may include supporti</w:t>
      </w:r>
      <w:r w:rsidR="00380AEB">
        <w:t>ve</w:t>
      </w:r>
      <w:r w:rsidR="004200CE">
        <w:t xml:space="preserve"> measures and need not be non-disciplinary or non-punitive in nature and need not avoid burdening the respondent.</w:t>
      </w:r>
    </w:p>
    <w:p w14:paraId="627DA3E3" w14:textId="77777777" w:rsidR="00B46211" w:rsidRPr="00066188" w:rsidRDefault="00B46211" w:rsidP="00066188">
      <w:pPr>
        <w:pStyle w:val="Heading1"/>
      </w:pPr>
      <w:r w:rsidRPr="00066188">
        <w:t>Notice of Determination of Responsibility</w:t>
      </w:r>
    </w:p>
    <w:p w14:paraId="0905160F" w14:textId="42E682C3" w:rsidR="00466DF1" w:rsidRDefault="0014026F" w:rsidP="00625DE7">
      <w:pPr>
        <w:pStyle w:val="Paragraph"/>
        <w:spacing w:after="0"/>
      </w:pPr>
      <w:r>
        <w:t>The</w:t>
      </w:r>
      <w:r w:rsidR="004627DC">
        <w:rPr>
          <w:b/>
        </w:rPr>
        <w:t xml:space="preserve"> </w:t>
      </w:r>
      <w:r w:rsidR="00D56785" w:rsidRPr="00D56785">
        <w:rPr>
          <w:bCs/>
        </w:rPr>
        <w:t>Board President</w:t>
      </w:r>
      <w:r w:rsidR="00D56785">
        <w:rPr>
          <w:b/>
        </w:rPr>
        <w:t xml:space="preserve"> </w:t>
      </w:r>
      <w:r w:rsidR="0002557D">
        <w:t>or other designated decision</w:t>
      </w:r>
      <w:r w:rsidR="00BD5064">
        <w:t>-</w:t>
      </w:r>
      <w:r w:rsidR="0002557D">
        <w:t xml:space="preserve">maker </w:t>
      </w:r>
      <w:r w:rsidR="00221998">
        <w:t xml:space="preserve">shall </w:t>
      </w:r>
      <w:r w:rsidR="008510DF">
        <w:t>provide</w:t>
      </w:r>
      <w:r w:rsidR="00221998">
        <w:t xml:space="preserve"> written notice of the determination</w:t>
      </w:r>
      <w:r w:rsidR="003C0307">
        <w:t xml:space="preserve"> of responsibility</w:t>
      </w:r>
      <w:r w:rsidR="00883C07">
        <w:t xml:space="preserve"> </w:t>
      </w:r>
      <w:r w:rsidR="00221998">
        <w:t xml:space="preserve">to the complainant and the respondent </w:t>
      </w:r>
      <w:r w:rsidR="008510DF">
        <w:t>simultaneously</w:t>
      </w:r>
      <w:r w:rsidR="00221998">
        <w:t>.</w:t>
      </w:r>
      <w:r w:rsidR="008510DF">
        <w:t xml:space="preserve">  The notice of determination must</w:t>
      </w:r>
      <w:r w:rsidR="00466DF1">
        <w:t xml:space="preserve"> identify:</w:t>
      </w:r>
    </w:p>
    <w:p w14:paraId="232BE1B7" w14:textId="77777777" w:rsidR="008510DF" w:rsidRPr="00066188" w:rsidRDefault="00466DF1" w:rsidP="00DF2204">
      <w:pPr>
        <w:pStyle w:val="NumBulletHeader"/>
        <w:numPr>
          <w:ilvl w:val="0"/>
          <w:numId w:val="10"/>
        </w:numPr>
        <w:ind w:left="720" w:hanging="720"/>
      </w:pPr>
      <w:r w:rsidRPr="00066188">
        <w:t>The allegations alleged to constitute sexual harassment;</w:t>
      </w:r>
    </w:p>
    <w:p w14:paraId="657F0005" w14:textId="5EA45A2E" w:rsidR="00466DF1" w:rsidRPr="00066188" w:rsidRDefault="00466DF1" w:rsidP="00DF2204">
      <w:pPr>
        <w:pStyle w:val="NumBulletHeader"/>
        <w:numPr>
          <w:ilvl w:val="0"/>
          <w:numId w:val="10"/>
        </w:numPr>
        <w:ind w:left="720" w:hanging="720"/>
      </w:pPr>
      <w:r w:rsidRPr="00066188">
        <w:t>The procedural steps taken from the receipt of the formal complaint through the determination of responsibility, including notification</w:t>
      </w:r>
      <w:r w:rsidR="00BC2730">
        <w:t>s</w:t>
      </w:r>
      <w:r w:rsidRPr="00066188">
        <w:t xml:space="preserve"> to parties, interviews of parties and witnesses, site visits, and other methods used to gather evidence;</w:t>
      </w:r>
    </w:p>
    <w:p w14:paraId="5430B826" w14:textId="77777777" w:rsidR="00466DF1" w:rsidRPr="00066188" w:rsidRDefault="00466DF1" w:rsidP="00DF2204">
      <w:pPr>
        <w:pStyle w:val="NumBulletHeader"/>
        <w:numPr>
          <w:ilvl w:val="0"/>
          <w:numId w:val="10"/>
        </w:numPr>
        <w:ind w:left="720" w:hanging="720"/>
      </w:pPr>
      <w:r w:rsidRPr="00066188">
        <w:t>Findings of fact supporting the determination;</w:t>
      </w:r>
    </w:p>
    <w:p w14:paraId="6C157F11" w14:textId="1943315F" w:rsidR="00466DF1" w:rsidRPr="00066188" w:rsidRDefault="00466DF1" w:rsidP="00DF2204">
      <w:pPr>
        <w:pStyle w:val="NumBulletHeader"/>
        <w:numPr>
          <w:ilvl w:val="0"/>
          <w:numId w:val="10"/>
        </w:numPr>
        <w:ind w:left="720" w:hanging="720"/>
      </w:pPr>
      <w:r w:rsidRPr="00066188">
        <w:t>Conclusions regarding</w:t>
      </w:r>
      <w:r w:rsidR="004200CE" w:rsidRPr="00066188">
        <w:t xml:space="preserve"> the application of the </w:t>
      </w:r>
      <w:r w:rsidR="00891F59">
        <w:t>Unit</w:t>
      </w:r>
      <w:r w:rsidR="004200CE" w:rsidRPr="00066188">
        <w:t>’s code of conduct to the facts of the conduct allegedly constituting Title IX sexual harassment;</w:t>
      </w:r>
    </w:p>
    <w:p w14:paraId="0FB89349" w14:textId="77777777" w:rsidR="004200CE" w:rsidRPr="00066188" w:rsidRDefault="004200CE" w:rsidP="00DF2204">
      <w:pPr>
        <w:pStyle w:val="NumBulletHeader"/>
        <w:numPr>
          <w:ilvl w:val="0"/>
          <w:numId w:val="10"/>
        </w:numPr>
        <w:ind w:left="720" w:hanging="720"/>
      </w:pPr>
      <w:r w:rsidRPr="00066188">
        <w:t>A determination regarding responsibility for each allegation and the decision</w:t>
      </w:r>
      <w:r w:rsidR="00BD5064" w:rsidRPr="00066188">
        <w:t>-</w:t>
      </w:r>
      <w:r w:rsidRPr="00066188">
        <w:t xml:space="preserve">maker’s rationale for the result; </w:t>
      </w:r>
    </w:p>
    <w:p w14:paraId="36F6FE68" w14:textId="1B34F85D" w:rsidR="00466DF1" w:rsidRPr="00066188" w:rsidRDefault="004200CE" w:rsidP="00DF2204">
      <w:pPr>
        <w:pStyle w:val="NumBulletHeader"/>
        <w:numPr>
          <w:ilvl w:val="0"/>
          <w:numId w:val="10"/>
        </w:numPr>
        <w:ind w:left="720" w:hanging="720"/>
      </w:pPr>
      <w:r w:rsidRPr="00066188">
        <w:t xml:space="preserve">Any disciplinary sanctions the </w:t>
      </w:r>
      <w:r w:rsidR="00891F59">
        <w:t>Unit</w:t>
      </w:r>
      <w:r w:rsidRPr="00066188">
        <w:t xml:space="preserve"> </w:t>
      </w:r>
      <w:r w:rsidR="004D1745" w:rsidRPr="00066188">
        <w:t>will impose</w:t>
      </w:r>
      <w:r w:rsidRPr="00066188">
        <w:t xml:space="preserve"> on the respondent and whether the </w:t>
      </w:r>
      <w:r w:rsidR="00891F59">
        <w:t>Unit</w:t>
      </w:r>
      <w:r w:rsidRPr="00066188">
        <w:t xml:space="preserve"> will provide remedies to the complainant</w:t>
      </w:r>
      <w:r w:rsidR="00466DF1" w:rsidRPr="00066188">
        <w:t>;</w:t>
      </w:r>
      <w:r w:rsidRPr="00066188">
        <w:t xml:space="preserve"> and</w:t>
      </w:r>
    </w:p>
    <w:p w14:paraId="3C8AC009" w14:textId="682BE4EE" w:rsidR="004200CE" w:rsidRPr="00066188" w:rsidRDefault="004200CE" w:rsidP="00B84E6E">
      <w:pPr>
        <w:pStyle w:val="NumBulletHeader"/>
        <w:numPr>
          <w:ilvl w:val="0"/>
          <w:numId w:val="10"/>
        </w:numPr>
        <w:spacing w:after="240"/>
        <w:ind w:left="720" w:hanging="720"/>
      </w:pPr>
      <w:r w:rsidRPr="00066188">
        <w:t xml:space="preserve">Information regarding the appeals process and the </w:t>
      </w:r>
      <w:r w:rsidR="00891F59">
        <w:t>Unit</w:t>
      </w:r>
      <w:r w:rsidRPr="00066188">
        <w:t>’s procedures and permissible bases for the complainant and the respondent to appeal.</w:t>
      </w:r>
    </w:p>
    <w:p w14:paraId="43B00884" w14:textId="0280F571" w:rsidR="008F0042" w:rsidRPr="008F0042" w:rsidRDefault="00CB2E76" w:rsidP="008F0042">
      <w:pPr>
        <w:pStyle w:val="Paragraph"/>
      </w:pPr>
      <w:r>
        <w:t xml:space="preserve">The notice of determination must not describe the individualized remedies to be provided to the complainant.  The Title IX Coordinator shall communicate </w:t>
      </w:r>
      <w:r w:rsidR="00380AEB">
        <w:t xml:space="preserve">such remedies </w:t>
      </w:r>
      <w:r>
        <w:t xml:space="preserve">separately </w:t>
      </w:r>
      <w:r w:rsidR="004D1745">
        <w:t>to</w:t>
      </w:r>
      <w:r>
        <w:t xml:space="preserve"> the complainant to discuss what remedies are appropriately designed to preserve or restore the complainant’s equal access to </w:t>
      </w:r>
      <w:r w:rsidR="006B1859">
        <w:t xml:space="preserve">the </w:t>
      </w:r>
      <w:r w:rsidR="00891F59">
        <w:t>Unit</w:t>
      </w:r>
      <w:r w:rsidR="00D65BCF">
        <w:t xml:space="preserve">’s </w:t>
      </w:r>
      <w:r>
        <w:t>education</w:t>
      </w:r>
      <w:r w:rsidR="006B1859">
        <w:t xml:space="preserve"> program</w:t>
      </w:r>
      <w:r w:rsidR="00D65BCF">
        <w:t>s</w:t>
      </w:r>
      <w:r w:rsidR="006B1859">
        <w:t xml:space="preserve"> or activit</w:t>
      </w:r>
      <w:r w:rsidR="00D65BCF">
        <w:t>ies</w:t>
      </w:r>
      <w:r>
        <w:t xml:space="preserve">.  </w:t>
      </w:r>
      <w:r w:rsidR="008F0042" w:rsidRPr="008F0042">
        <w:t xml:space="preserve">The </w:t>
      </w:r>
      <w:r w:rsidR="004200CE">
        <w:t>Title IX Coordinator</w:t>
      </w:r>
      <w:r w:rsidR="008F0042" w:rsidRPr="008F0042">
        <w:t xml:space="preserve"> </w:t>
      </w:r>
      <w:r>
        <w:t xml:space="preserve">shall </w:t>
      </w:r>
      <w:r w:rsidR="004200CE">
        <w:t>create</w:t>
      </w:r>
      <w:r w:rsidR="008F0042" w:rsidRPr="008F0042">
        <w:t xml:space="preserve"> a monitoring plan to evaluate the effectiveness of the </w:t>
      </w:r>
      <w:r w:rsidR="00883C07">
        <w:t>disciplinary sanctions</w:t>
      </w:r>
      <w:r w:rsidR="00C8358D">
        <w:t>, remedies</w:t>
      </w:r>
      <w:r w:rsidR="00883C07">
        <w:t xml:space="preserve"> and/or supportive measures </w:t>
      </w:r>
      <w:r w:rsidR="004200CE">
        <w:t xml:space="preserve">identified in the determination of responsibility </w:t>
      </w:r>
      <w:r w:rsidR="00883C07">
        <w:t>to</w:t>
      </w:r>
      <w:r w:rsidR="008F0042">
        <w:t xml:space="preserve"> help prevent recurrence.</w:t>
      </w:r>
    </w:p>
    <w:p w14:paraId="53438BE4" w14:textId="78AF6CC9" w:rsidR="008F0042" w:rsidRPr="008F0042" w:rsidRDefault="00F935E1" w:rsidP="008F0042">
      <w:pPr>
        <w:pStyle w:val="Heading1"/>
      </w:pPr>
      <w:r>
        <w:t>Appeal Procedure</w:t>
      </w:r>
    </w:p>
    <w:p w14:paraId="615A7ECC" w14:textId="18B6D2EF" w:rsidR="00656A7F" w:rsidRDefault="00656A7F" w:rsidP="00625DE7">
      <w:pPr>
        <w:pStyle w:val="Paragraph"/>
        <w:tabs>
          <w:tab w:val="clear" w:pos="720"/>
        </w:tabs>
        <w:spacing w:after="0"/>
      </w:pPr>
      <w:r>
        <w:t xml:space="preserve">The complainant </w:t>
      </w:r>
      <w:r w:rsidR="00380AEB">
        <w:t>or</w:t>
      </w:r>
      <w:r>
        <w:t xml:space="preserve"> the respondent </w:t>
      </w:r>
      <w:r w:rsidR="00380AEB">
        <w:t>may</w:t>
      </w:r>
      <w:r>
        <w:t xml:space="preserve"> appeal the determination of responsibility, including </w:t>
      </w:r>
      <w:r w:rsidR="006B1859">
        <w:t xml:space="preserve">the severity or proportionality of </w:t>
      </w:r>
      <w:r>
        <w:t>any disciplinary sanction instituted as a result of the determination of responsibility</w:t>
      </w:r>
      <w:r w:rsidR="00873EA7">
        <w:t>.</w:t>
      </w:r>
      <w:r>
        <w:t xml:space="preserve">  </w:t>
      </w:r>
      <w:r w:rsidR="00873EA7">
        <w:t xml:space="preserve">The complainant and the respondent </w:t>
      </w:r>
      <w:r w:rsidR="00380AEB">
        <w:t>may also appeal</w:t>
      </w:r>
      <w:r w:rsidR="00873EA7">
        <w:t xml:space="preserve"> any dismissal, whether discretionary or mandatory, of a formal complaint or allegation contained in a formal complaint.</w:t>
      </w:r>
      <w:r w:rsidR="00873EA7" w:rsidRPr="00066188">
        <w:t xml:space="preserve">  </w:t>
      </w:r>
      <w:r>
        <w:t>An appeal must be based on the existence of one or more of the following:</w:t>
      </w:r>
    </w:p>
    <w:p w14:paraId="67BF3132" w14:textId="77777777" w:rsidR="00B46211" w:rsidRPr="00066188" w:rsidRDefault="00656A7F" w:rsidP="00DF2204">
      <w:pPr>
        <w:pStyle w:val="NumBulletHeader"/>
        <w:numPr>
          <w:ilvl w:val="0"/>
          <w:numId w:val="11"/>
        </w:numPr>
        <w:ind w:left="720" w:hanging="720"/>
      </w:pPr>
      <w:r w:rsidRPr="00066188">
        <w:t>Procedural irregularity that affected the outcome</w:t>
      </w:r>
      <w:r w:rsidR="00F935E1" w:rsidRPr="00066188">
        <w:t xml:space="preserve"> of the matter</w:t>
      </w:r>
      <w:r w:rsidRPr="00066188">
        <w:t>;</w:t>
      </w:r>
    </w:p>
    <w:p w14:paraId="2CCF4A3E" w14:textId="77777777" w:rsidR="00B46211" w:rsidRPr="00066188" w:rsidRDefault="00B46211" w:rsidP="00DF2204">
      <w:pPr>
        <w:pStyle w:val="NumBulletHeader"/>
        <w:numPr>
          <w:ilvl w:val="0"/>
          <w:numId w:val="11"/>
        </w:numPr>
        <w:ind w:left="720" w:hanging="720"/>
      </w:pPr>
      <w:r w:rsidRPr="00066188">
        <w:t xml:space="preserve">New evidence that was not reasonably available when the determination of responsibility </w:t>
      </w:r>
      <w:r w:rsidR="00CE3BF3" w:rsidRPr="00066188">
        <w:t xml:space="preserve">or dismissal decision </w:t>
      </w:r>
      <w:r w:rsidRPr="00066188">
        <w:t>was made that could affect the outcome</w:t>
      </w:r>
      <w:r w:rsidR="00F935E1" w:rsidRPr="00066188">
        <w:t xml:space="preserve"> of the matter</w:t>
      </w:r>
      <w:r w:rsidRPr="00066188">
        <w:t>; or</w:t>
      </w:r>
    </w:p>
    <w:p w14:paraId="276008C3" w14:textId="445E5FF7" w:rsidR="00656A7F" w:rsidRPr="00066188" w:rsidRDefault="00656A7F" w:rsidP="00B84E6E">
      <w:pPr>
        <w:pStyle w:val="NumBulletHeader"/>
        <w:numPr>
          <w:ilvl w:val="0"/>
          <w:numId w:val="11"/>
        </w:numPr>
        <w:spacing w:after="240"/>
        <w:ind w:left="720" w:hanging="720"/>
      </w:pPr>
      <w:r w:rsidRPr="00066188">
        <w:t>The Title IX Coordinator, investigator, or decision</w:t>
      </w:r>
      <w:r w:rsidR="00BD5064" w:rsidRPr="00066188">
        <w:t>-</w:t>
      </w:r>
      <w:r w:rsidRPr="00066188">
        <w:t xml:space="preserve">maker had a conflict of interest or bias </w:t>
      </w:r>
      <w:r w:rsidR="006B1859">
        <w:t xml:space="preserve">for or against complainants or respondents generally or the individual complainant or respondent </w:t>
      </w:r>
      <w:r w:rsidRPr="00066188">
        <w:t>that affected the outcome</w:t>
      </w:r>
      <w:r w:rsidR="00F935E1" w:rsidRPr="00066188">
        <w:t xml:space="preserve"> of the matter</w:t>
      </w:r>
      <w:r w:rsidRPr="00066188">
        <w:t>.</w:t>
      </w:r>
    </w:p>
    <w:p w14:paraId="7E1C7164" w14:textId="43D2942A" w:rsidR="00873EA7" w:rsidRDefault="00CE3BF3" w:rsidP="008F0042">
      <w:pPr>
        <w:pStyle w:val="Paragraph"/>
      </w:pPr>
      <w:r>
        <w:t xml:space="preserve">An appeal must be submitted in writing to the </w:t>
      </w:r>
      <w:bookmarkStart w:id="3" w:name="_Hlk48214209"/>
      <w:r w:rsidR="003104EF" w:rsidRPr="003104EF">
        <w:rPr>
          <w:bCs/>
        </w:rPr>
        <w:t>Board Vice President</w:t>
      </w:r>
      <w:r w:rsidR="003104EF">
        <w:rPr>
          <w:bCs/>
        </w:rPr>
        <w:t xml:space="preserve"> </w:t>
      </w:r>
      <w:r w:rsidRPr="003104EF">
        <w:t xml:space="preserve">within </w:t>
      </w:r>
      <w:r w:rsidR="004322C2" w:rsidRPr="003104EF">
        <w:t>ten school</w:t>
      </w:r>
      <w:r w:rsidR="003104EF">
        <w:rPr>
          <w:b/>
        </w:rPr>
        <w:t xml:space="preserve"> </w:t>
      </w:r>
      <w:r>
        <w:t xml:space="preserve">days after receipt of the </w:t>
      </w:r>
      <w:r w:rsidR="00380AEB">
        <w:t>n</w:t>
      </w:r>
      <w:r>
        <w:t xml:space="preserve">otice of </w:t>
      </w:r>
      <w:r w:rsidR="00380AEB">
        <w:t>d</w:t>
      </w:r>
      <w:r>
        <w:t>etermination</w:t>
      </w:r>
      <w:r w:rsidR="00380AEB">
        <w:t xml:space="preserve"> or dismissal,</w:t>
      </w:r>
      <w:r>
        <w:t xml:space="preserve"> and must identify the base(s) on which the appeal is being filed.  </w:t>
      </w:r>
      <w:bookmarkEnd w:id="3"/>
      <w:r w:rsidR="00873EA7">
        <w:t xml:space="preserve">Upon receipt of an appeal, the </w:t>
      </w:r>
      <w:r w:rsidR="003104EF">
        <w:t xml:space="preserve">Board Vice President </w:t>
      </w:r>
      <w:r w:rsidR="00873EA7">
        <w:t xml:space="preserve">shall promptly provide </w:t>
      </w:r>
      <w:r w:rsidR="006B1859">
        <w:t xml:space="preserve">written </w:t>
      </w:r>
      <w:r w:rsidR="00873EA7">
        <w:t>notice of the appeal to both parties and inform them of their right to submit written statements supporting or challenging the outcome and the deadline by which such statements must be submitted.</w:t>
      </w:r>
    </w:p>
    <w:p w14:paraId="243709E8" w14:textId="2AB12ABD" w:rsidR="00C8358D" w:rsidRDefault="00873EA7" w:rsidP="008F0042">
      <w:pPr>
        <w:pStyle w:val="Paragraph"/>
      </w:pPr>
      <w:r>
        <w:t>In considering the appeal, t</w:t>
      </w:r>
      <w:r w:rsidR="00CE3BF3">
        <w:t xml:space="preserve">he </w:t>
      </w:r>
      <w:r w:rsidR="003104EF" w:rsidRPr="003104EF">
        <w:rPr>
          <w:bCs/>
        </w:rPr>
        <w:t>Board Vice President</w:t>
      </w:r>
      <w:r w:rsidR="00CE3BF3">
        <w:rPr>
          <w:b/>
        </w:rPr>
        <w:t xml:space="preserve"> </w:t>
      </w:r>
      <w:r w:rsidR="00CE3BF3">
        <w:t>must review all relevant evidence submitted to the investigator during the investigation</w:t>
      </w:r>
      <w:r w:rsidR="004E6B3A">
        <w:t xml:space="preserve">, </w:t>
      </w:r>
      <w:r w:rsidR="00D65BCF">
        <w:t xml:space="preserve">responses to any </w:t>
      </w:r>
      <w:r w:rsidR="004E6B3A">
        <w:t>written questions</w:t>
      </w:r>
      <w:r w:rsidR="00D65BCF">
        <w:t xml:space="preserve">, </w:t>
      </w:r>
      <w:r w:rsidR="004E6B3A">
        <w:t xml:space="preserve">responses </w:t>
      </w:r>
      <w:r w:rsidR="004E6B3A" w:rsidRPr="00066188">
        <w:t xml:space="preserve">to the </w:t>
      </w:r>
      <w:r w:rsidR="004E6B3A">
        <w:t xml:space="preserve">investigation </w:t>
      </w:r>
      <w:r w:rsidR="004E6B3A" w:rsidRPr="00066188">
        <w:t>report by the complainant and respondent</w:t>
      </w:r>
      <w:r w:rsidR="00BC2730">
        <w:t>,</w:t>
      </w:r>
      <w:r>
        <w:t xml:space="preserve"> </w:t>
      </w:r>
      <w:r w:rsidR="00BC2730">
        <w:t xml:space="preserve">the decision-makers written determination, </w:t>
      </w:r>
      <w:r>
        <w:t>and any written statements filed by the complainant or respondent following in</w:t>
      </w:r>
      <w:r w:rsidR="000F5017">
        <w:t>itiation of appeal to</w:t>
      </w:r>
      <w:r>
        <w:t xml:space="preserve"> </w:t>
      </w:r>
      <w:r w:rsidR="00CE3BF3">
        <w:t xml:space="preserve">determine </w:t>
      </w:r>
      <w:r w:rsidR="000F5017">
        <w:t xml:space="preserve">if the determination of responsibility or dismissal decision was appropriate.  The </w:t>
      </w:r>
      <w:r w:rsidR="003104EF">
        <w:t xml:space="preserve">Board Vice President </w:t>
      </w:r>
      <w:r w:rsidR="000F5017">
        <w:t>shall provide written notice of the appeal decision and the rationale of that decision to the complainant and the respondent</w:t>
      </w:r>
      <w:r w:rsidR="006B1859">
        <w:t xml:space="preserve"> simultaneously</w:t>
      </w:r>
      <w:r w:rsidR="000F5017">
        <w:t>.</w:t>
      </w:r>
    </w:p>
    <w:p w14:paraId="6E83D76E" w14:textId="7C30BEC9" w:rsidR="00CE3BF3" w:rsidRDefault="00CE3BF3" w:rsidP="008F0042">
      <w:pPr>
        <w:pStyle w:val="Paragraph"/>
      </w:pPr>
      <w:r>
        <w:t xml:space="preserve">The determination of responsibility </w:t>
      </w:r>
      <w:r w:rsidR="00873EA7">
        <w:t xml:space="preserve">or dismissal decision </w:t>
      </w:r>
      <w:r>
        <w:t xml:space="preserve">becomes final after the time period to file an appeal has expired, or if a party does file an appeal, after </w:t>
      </w:r>
      <w:r w:rsidR="000F5017">
        <w:t xml:space="preserve">notice of </w:t>
      </w:r>
      <w:r>
        <w:t xml:space="preserve">the appeal decision has been sent to the parties.  Until the determination of responsibility is final, the </w:t>
      </w:r>
      <w:r w:rsidR="00891F59">
        <w:t>Unit</w:t>
      </w:r>
      <w:r>
        <w:t xml:space="preserve"> must refrain from acting on the determination of responsibility while maintaining the status quo through supportive measures designed to ensure equal access to </w:t>
      </w:r>
      <w:r w:rsidR="006B1859">
        <w:t xml:space="preserve">the </w:t>
      </w:r>
      <w:r w:rsidR="00891F59">
        <w:t>Unit</w:t>
      </w:r>
      <w:r w:rsidR="00D65BCF">
        <w:t xml:space="preserve">’s </w:t>
      </w:r>
      <w:r>
        <w:t>education</w:t>
      </w:r>
      <w:r w:rsidR="006B1859">
        <w:t xml:space="preserve"> program</w:t>
      </w:r>
      <w:r w:rsidR="00D65BCF">
        <w:t>s</w:t>
      </w:r>
      <w:r w:rsidR="006B1859">
        <w:t xml:space="preserve"> or activit</w:t>
      </w:r>
      <w:r w:rsidR="00D65BCF">
        <w:t>ies</w:t>
      </w:r>
      <w:r>
        <w:t>.</w:t>
      </w:r>
    </w:p>
    <w:p w14:paraId="52EC821C" w14:textId="1E97880B" w:rsidR="00873EA7" w:rsidRDefault="00873EA7" w:rsidP="008F0042">
      <w:pPr>
        <w:pStyle w:val="Paragraph"/>
      </w:pPr>
      <w:r>
        <w:t xml:space="preserve">The complainant need not file an appeal to challenge the selection of remedies </w:t>
      </w:r>
      <w:r w:rsidR="00380AEB">
        <w:t>resulting from a</w:t>
      </w:r>
      <w:r>
        <w:t xml:space="preserve"> determination of responsibility.  The Title IX Coordinator is responsible for effective implementation of remedies and the complainant may work with the Title IX Coordinator to select and effectively implement remedies designed to restore or preserve the complainant’s equal access to </w:t>
      </w:r>
      <w:r w:rsidR="006B1859">
        <w:t xml:space="preserve">the </w:t>
      </w:r>
      <w:r w:rsidR="00891F59">
        <w:t>Unit</w:t>
      </w:r>
      <w:r w:rsidR="00D65BCF">
        <w:t xml:space="preserve">’s </w:t>
      </w:r>
      <w:r>
        <w:t>education</w:t>
      </w:r>
      <w:r w:rsidR="006B1859">
        <w:t xml:space="preserve"> program</w:t>
      </w:r>
      <w:r w:rsidR="00D65BCF">
        <w:t>s</w:t>
      </w:r>
      <w:r w:rsidR="006B1859">
        <w:t xml:space="preserve"> or activit</w:t>
      </w:r>
      <w:r w:rsidR="00D65BCF">
        <w:t>ies</w:t>
      </w:r>
      <w:r>
        <w:t>.</w:t>
      </w:r>
    </w:p>
    <w:p w14:paraId="56483C6B" w14:textId="77777777" w:rsidR="008F0042" w:rsidRDefault="008F0042" w:rsidP="008F0042">
      <w:pPr>
        <w:pStyle w:val="Paragraph"/>
      </w:pPr>
      <w:r w:rsidRPr="008F0042">
        <w:t xml:space="preserve">Nothing </w:t>
      </w:r>
      <w:r w:rsidR="0022059B">
        <w:t xml:space="preserve">herein </w:t>
      </w:r>
      <w:r w:rsidRPr="008F0042">
        <w:t xml:space="preserve">shall prevent the parties from seeking </w:t>
      </w:r>
      <w:r w:rsidR="00B46211">
        <w:t xml:space="preserve">available </w:t>
      </w:r>
      <w:r w:rsidRPr="008F0042">
        <w:t>judicial redress through a court of competent jurisdiction or through any applicable state or federal complaint procedures.</w:t>
      </w:r>
    </w:p>
    <w:p w14:paraId="2C42C351" w14:textId="0003B8A8" w:rsidR="00C8358D" w:rsidRDefault="00C8358D" w:rsidP="00C8358D">
      <w:pPr>
        <w:pStyle w:val="Heading1"/>
      </w:pPr>
      <w:r>
        <w:t>Discretionary and Mandatory Dismissals</w:t>
      </w:r>
    </w:p>
    <w:p w14:paraId="184BCA3A" w14:textId="6F14F7CC" w:rsidR="00C8358D" w:rsidRPr="00066188" w:rsidRDefault="00C8358D" w:rsidP="00625DE7">
      <w:pPr>
        <w:pStyle w:val="Paragraph"/>
        <w:spacing w:after="0"/>
      </w:pPr>
      <w:r w:rsidRPr="00066188">
        <w:t xml:space="preserve">The </w:t>
      </w:r>
      <w:r w:rsidR="00891F59">
        <w:t>Unit</w:t>
      </w:r>
      <w:r w:rsidRPr="00066188">
        <w:t xml:space="preserve"> may dismiss a formal complaint or allegations therein when:</w:t>
      </w:r>
    </w:p>
    <w:p w14:paraId="2E99D7B5" w14:textId="77777777" w:rsidR="00C8358D" w:rsidRPr="00066188" w:rsidRDefault="00C8358D" w:rsidP="00DF2204">
      <w:pPr>
        <w:pStyle w:val="NumBulletHeader"/>
        <w:numPr>
          <w:ilvl w:val="0"/>
          <w:numId w:val="12"/>
        </w:numPr>
        <w:ind w:left="720" w:hanging="720"/>
      </w:pPr>
      <w:r w:rsidRPr="00066188">
        <w:t>A complainant requests the dismissal in writing to the Title IX Coordinator;</w:t>
      </w:r>
    </w:p>
    <w:p w14:paraId="5EF4FCEA" w14:textId="68C0B1F8" w:rsidR="00C8358D" w:rsidRPr="00066188" w:rsidRDefault="00C8358D" w:rsidP="00DF2204">
      <w:pPr>
        <w:pStyle w:val="NumBulletHeader"/>
        <w:numPr>
          <w:ilvl w:val="0"/>
          <w:numId w:val="12"/>
        </w:numPr>
        <w:ind w:left="720" w:hanging="720"/>
      </w:pPr>
      <w:r w:rsidRPr="00066188">
        <w:t xml:space="preserve">The respondent is no longer enrolled </w:t>
      </w:r>
      <w:r w:rsidR="00D4538D" w:rsidRPr="00066188">
        <w:t xml:space="preserve">with </w:t>
      </w:r>
      <w:r w:rsidRPr="00066188">
        <w:t xml:space="preserve">or employed by the </w:t>
      </w:r>
      <w:r w:rsidR="00891F59">
        <w:t>Unit</w:t>
      </w:r>
      <w:r w:rsidRPr="00066188">
        <w:t>; or</w:t>
      </w:r>
    </w:p>
    <w:p w14:paraId="779785C1" w14:textId="7ADC85F3" w:rsidR="00C8358D" w:rsidRPr="00066188" w:rsidRDefault="00C8358D" w:rsidP="00B84E6E">
      <w:pPr>
        <w:pStyle w:val="NumBulletHeader"/>
        <w:numPr>
          <w:ilvl w:val="0"/>
          <w:numId w:val="12"/>
        </w:numPr>
        <w:spacing w:after="240"/>
        <w:ind w:left="720" w:hanging="720"/>
      </w:pPr>
      <w:r w:rsidRPr="00066188">
        <w:t xml:space="preserve">Specific circumstances prevent the </w:t>
      </w:r>
      <w:r w:rsidR="00891F59">
        <w:t>Unit</w:t>
      </w:r>
      <w:r w:rsidRPr="00066188">
        <w:t xml:space="preserve"> from gathering evidence sufficient to reach a determination regarding responsibility.</w:t>
      </w:r>
    </w:p>
    <w:p w14:paraId="0AF33AC6" w14:textId="4FA8EC16" w:rsidR="00C8358D" w:rsidRPr="00066188" w:rsidRDefault="00C8358D" w:rsidP="00625DE7">
      <w:pPr>
        <w:pStyle w:val="Paragraph"/>
        <w:spacing w:after="0"/>
      </w:pPr>
      <w:r w:rsidRPr="00066188">
        <w:t xml:space="preserve">The </w:t>
      </w:r>
      <w:r w:rsidR="00891F59">
        <w:t>Unit</w:t>
      </w:r>
      <w:r w:rsidRPr="00066188">
        <w:t xml:space="preserve"> must dismiss a formal complaint or allegations when:</w:t>
      </w:r>
    </w:p>
    <w:p w14:paraId="30226292" w14:textId="509EA5A4" w:rsidR="00C8358D" w:rsidRPr="00066188" w:rsidRDefault="00C8358D" w:rsidP="00DF2204">
      <w:pPr>
        <w:pStyle w:val="NumBulletHeader"/>
        <w:numPr>
          <w:ilvl w:val="0"/>
          <w:numId w:val="13"/>
        </w:numPr>
        <w:ind w:left="720" w:hanging="720"/>
      </w:pPr>
      <w:r w:rsidRPr="00066188">
        <w:t>The allegations set forth do not meet the definition of sexual harassment</w:t>
      </w:r>
      <w:r w:rsidR="006B1859">
        <w:t xml:space="preserve"> even if proved</w:t>
      </w:r>
      <w:r w:rsidRPr="00066188">
        <w:t>;</w:t>
      </w:r>
    </w:p>
    <w:p w14:paraId="322C4E10" w14:textId="77777777" w:rsidR="00C8358D" w:rsidRPr="00066188" w:rsidRDefault="00C8358D" w:rsidP="00DF2204">
      <w:pPr>
        <w:pStyle w:val="NumBulletHeader"/>
        <w:numPr>
          <w:ilvl w:val="0"/>
          <w:numId w:val="13"/>
        </w:numPr>
        <w:ind w:left="720" w:hanging="720"/>
      </w:pPr>
      <w:r w:rsidRPr="00066188">
        <w:t>The alleged sexual harassment did not occur against a person in the United States; or</w:t>
      </w:r>
    </w:p>
    <w:p w14:paraId="68BB792D" w14:textId="6DB7D22A" w:rsidR="00C8358D" w:rsidRPr="00066188" w:rsidRDefault="00C8358D" w:rsidP="00B84E6E">
      <w:pPr>
        <w:pStyle w:val="NumBulletHeader"/>
        <w:numPr>
          <w:ilvl w:val="0"/>
          <w:numId w:val="13"/>
        </w:numPr>
        <w:spacing w:after="240"/>
        <w:ind w:left="720" w:hanging="720"/>
      </w:pPr>
      <w:r w:rsidRPr="00066188">
        <w:t xml:space="preserve">The alleged sexual harassment did not occur in a </w:t>
      </w:r>
      <w:r w:rsidR="005C2360">
        <w:t>district/u</w:t>
      </w:r>
      <w:r w:rsidR="00891F59">
        <w:t>nit</w:t>
      </w:r>
      <w:r w:rsidRPr="00066188">
        <w:t xml:space="preserve"> education program or activity.</w:t>
      </w:r>
    </w:p>
    <w:p w14:paraId="7B24AA7B" w14:textId="7EA8EDDF" w:rsidR="00992ADE" w:rsidRPr="00066188" w:rsidRDefault="00C8358D" w:rsidP="00066188">
      <w:pPr>
        <w:pStyle w:val="Paragraph"/>
      </w:pPr>
      <w:r w:rsidRPr="00066188">
        <w:t xml:space="preserve">The Title IX Coordinator must provide written notice of any dismissal </w:t>
      </w:r>
      <w:r w:rsidR="000F5017" w:rsidRPr="00066188">
        <w:t xml:space="preserve">decision </w:t>
      </w:r>
      <w:r w:rsidRPr="00066188">
        <w:t>to the complainant and the respondent</w:t>
      </w:r>
      <w:r w:rsidR="006B1859">
        <w:t xml:space="preserve"> simultaneously</w:t>
      </w:r>
      <w:r w:rsidRPr="00066188">
        <w:t>.  The dismissal notice must state the reasons for dismissal and explain the parties’ right to appeal the decision in accordance with the procedure set forth herein.</w:t>
      </w:r>
    </w:p>
    <w:p w14:paraId="48AD298B" w14:textId="39FA4795" w:rsidR="0022059B" w:rsidRPr="00066188" w:rsidRDefault="00992ADE" w:rsidP="00066188">
      <w:pPr>
        <w:pStyle w:val="Paragraph"/>
      </w:pPr>
      <w:r w:rsidRPr="00066188">
        <w:t xml:space="preserve">If the allegations in a formal complaint do not meet the definition of sexual harassment, or did not occur in a </w:t>
      </w:r>
      <w:r w:rsidR="005C2360">
        <w:t>district/u</w:t>
      </w:r>
      <w:r w:rsidR="00891F59">
        <w:t>nit</w:t>
      </w:r>
      <w:r w:rsidRPr="00066188">
        <w:t xml:space="preserve"> education program or activity against a person in the United States, the </w:t>
      </w:r>
      <w:r w:rsidR="00891F59">
        <w:t>Unit</w:t>
      </w:r>
      <w:r w:rsidRPr="00066188">
        <w:t xml:space="preserve"> must dismiss such allegations for purposes of Title IX but may still address the allegations in any manner the </w:t>
      </w:r>
      <w:r w:rsidR="00891F59">
        <w:t>Unit</w:t>
      </w:r>
      <w:r w:rsidRPr="00066188">
        <w:t xml:space="preserve"> deems appropriate under the </w:t>
      </w:r>
      <w:r w:rsidR="005C2360">
        <w:t>u</w:t>
      </w:r>
      <w:r w:rsidR="00891F59">
        <w:t>nit</w:t>
      </w:r>
      <w:r w:rsidRPr="00066188">
        <w:t>’s policies relating to code of conduct.</w:t>
      </w:r>
    </w:p>
    <w:p w14:paraId="361F92E3" w14:textId="77777777" w:rsidR="000F5017" w:rsidRPr="00066188" w:rsidRDefault="000F5017" w:rsidP="00066188">
      <w:pPr>
        <w:pStyle w:val="Heading1"/>
      </w:pPr>
      <w:r w:rsidRPr="00066188">
        <w:t>Training Requirements</w:t>
      </w:r>
    </w:p>
    <w:p w14:paraId="7452DCB0" w14:textId="77777777" w:rsidR="00531BD6" w:rsidRDefault="00531BD6" w:rsidP="00066188">
      <w:pPr>
        <w:pStyle w:val="Paragraph"/>
        <w:spacing w:after="0"/>
      </w:pPr>
      <w:r>
        <w:t xml:space="preserve">The Title IX Coordinator, investigator, decision-makers, and </w:t>
      </w:r>
      <w:r w:rsidR="00E56790">
        <w:t>persons who facilitate</w:t>
      </w:r>
      <w:r>
        <w:t xml:space="preserve"> the informal resolution procedure</w:t>
      </w:r>
      <w:r w:rsidR="00E56790">
        <w:t>,</w:t>
      </w:r>
      <w:r>
        <w:t xml:space="preserve"> shall receive training.  This training must include:</w:t>
      </w:r>
    </w:p>
    <w:p w14:paraId="29E93E0E" w14:textId="77777777" w:rsidR="00531BD6" w:rsidRPr="00066188" w:rsidRDefault="00531BD6" w:rsidP="00B84E6E">
      <w:pPr>
        <w:pStyle w:val="NumBulletHeader"/>
        <w:numPr>
          <w:ilvl w:val="0"/>
          <w:numId w:val="14"/>
        </w:numPr>
        <w:ind w:left="720" w:hanging="720"/>
      </w:pPr>
      <w:r w:rsidRPr="00066188">
        <w:t>The definition of sexual harassment contained in Title IX and associated regulations;</w:t>
      </w:r>
    </w:p>
    <w:p w14:paraId="73FE6B23" w14:textId="617530C7" w:rsidR="00CD500A" w:rsidRPr="00066188" w:rsidRDefault="00CD500A" w:rsidP="00B84E6E">
      <w:pPr>
        <w:pStyle w:val="NumBulletHeader"/>
        <w:numPr>
          <w:ilvl w:val="0"/>
          <w:numId w:val="14"/>
        </w:numPr>
        <w:ind w:left="720" w:hanging="720"/>
      </w:pPr>
      <w:r w:rsidRPr="00066188">
        <w:t>How to identify conduct that may constitute sexual harassment;</w:t>
      </w:r>
    </w:p>
    <w:p w14:paraId="02610592" w14:textId="52ED8EFD" w:rsidR="00531BD6" w:rsidRPr="00066188" w:rsidRDefault="00531BD6" w:rsidP="00B84E6E">
      <w:pPr>
        <w:pStyle w:val="NumBulletHeader"/>
        <w:numPr>
          <w:ilvl w:val="0"/>
          <w:numId w:val="14"/>
        </w:numPr>
        <w:ind w:left="720" w:hanging="720"/>
      </w:pPr>
      <w:r w:rsidRPr="00066188">
        <w:t xml:space="preserve">The scope of the </w:t>
      </w:r>
      <w:r w:rsidR="005C2360">
        <w:t>district’s/u</w:t>
      </w:r>
      <w:r w:rsidR="00891F59">
        <w:t>nit</w:t>
      </w:r>
      <w:r w:rsidRPr="00066188">
        <w:t>’s education program or activity</w:t>
      </w:r>
      <w:r w:rsidR="00E56790" w:rsidRPr="00066188">
        <w:t xml:space="preserve"> so that the </w:t>
      </w:r>
      <w:r w:rsidR="00891F59">
        <w:t>Unit</w:t>
      </w:r>
      <w:r w:rsidR="00E56790" w:rsidRPr="00066188">
        <w:t xml:space="preserve"> may accurately identify situations that require a response under Title IX</w:t>
      </w:r>
      <w:r w:rsidRPr="00066188">
        <w:t>;</w:t>
      </w:r>
    </w:p>
    <w:p w14:paraId="5F1F5C39" w14:textId="67DD3874" w:rsidR="00CD500A" w:rsidRPr="00066188" w:rsidRDefault="00531BD6" w:rsidP="00B84E6E">
      <w:pPr>
        <w:pStyle w:val="NumBulletHeader"/>
        <w:numPr>
          <w:ilvl w:val="0"/>
          <w:numId w:val="14"/>
        </w:numPr>
        <w:ind w:left="720" w:hanging="720"/>
      </w:pPr>
      <w:r w:rsidRPr="00066188">
        <w:t xml:space="preserve">How to </w:t>
      </w:r>
      <w:r w:rsidR="00CD500A" w:rsidRPr="00066188">
        <w:t>conduct an investigation and grievance process including appeals and informal resolution processes, as applicable</w:t>
      </w:r>
      <w:r w:rsidRPr="00066188">
        <w:t>;</w:t>
      </w:r>
    </w:p>
    <w:p w14:paraId="5121DAAA" w14:textId="77777777" w:rsidR="00E56790" w:rsidRPr="00066188" w:rsidRDefault="00FC10CB" w:rsidP="00B84E6E">
      <w:pPr>
        <w:pStyle w:val="NumBulletHeader"/>
        <w:numPr>
          <w:ilvl w:val="0"/>
          <w:numId w:val="14"/>
        </w:numPr>
        <w:ind w:left="720" w:hanging="720"/>
      </w:pPr>
      <w:r w:rsidRPr="00066188">
        <w:t>How to make relevancy</w:t>
      </w:r>
      <w:r w:rsidR="00CD500A" w:rsidRPr="00066188">
        <w:t xml:space="preserve"> determinations, as applicable; </w:t>
      </w:r>
      <w:r w:rsidR="00E56790" w:rsidRPr="00066188">
        <w:t>and</w:t>
      </w:r>
    </w:p>
    <w:p w14:paraId="1ACE8214" w14:textId="2CCBA524" w:rsidR="00531BD6" w:rsidRPr="00066188" w:rsidRDefault="00E56790" w:rsidP="00B84E6E">
      <w:pPr>
        <w:pStyle w:val="NumBulletHeader"/>
        <w:numPr>
          <w:ilvl w:val="0"/>
          <w:numId w:val="14"/>
        </w:numPr>
        <w:spacing w:after="240"/>
        <w:ind w:left="720" w:hanging="720"/>
      </w:pPr>
      <w:r w:rsidRPr="00066188">
        <w:t>How to serve impartially, including by avoiding prejudgment of the facts at issue, conflicts of interest, or bias.</w:t>
      </w:r>
    </w:p>
    <w:p w14:paraId="45D6F624" w14:textId="76C44276" w:rsidR="00964ED8" w:rsidRDefault="00383DE4" w:rsidP="00992ADE">
      <w:pPr>
        <w:pStyle w:val="Paragraph"/>
      </w:pPr>
      <w:r>
        <w:t xml:space="preserve">The </w:t>
      </w:r>
      <w:r w:rsidR="00891F59">
        <w:t>Unit</w:t>
      </w:r>
      <w:r>
        <w:t xml:space="preserve"> shall publish </w:t>
      </w:r>
      <w:r w:rsidR="0022059B">
        <w:t xml:space="preserve">on the </w:t>
      </w:r>
      <w:r w:rsidR="005C2360">
        <w:t>u</w:t>
      </w:r>
      <w:r w:rsidR="00891F59">
        <w:t>nit</w:t>
      </w:r>
      <w:r w:rsidR="0022059B">
        <w:t xml:space="preserve"> website </w:t>
      </w:r>
      <w:r>
        <w:t>all current</w:t>
      </w:r>
      <w:r w:rsidR="00FC10CB">
        <w:t>, up-to-date</w:t>
      </w:r>
      <w:r>
        <w:t xml:space="preserve"> materials used to train </w:t>
      </w:r>
      <w:r w:rsidR="00531BD6">
        <w:t>Title IX personnel</w:t>
      </w:r>
      <w:r>
        <w:t>.</w:t>
      </w:r>
      <w:r w:rsidR="00531BD6">
        <w:t xml:space="preserve">  If the </w:t>
      </w:r>
      <w:r w:rsidR="00891F59">
        <w:t>Unit</w:t>
      </w:r>
      <w:r w:rsidR="00531BD6">
        <w:t xml:space="preserve"> does not maintain a website, such materials shall be made available for public inspection upon request.</w:t>
      </w:r>
    </w:p>
    <w:p w14:paraId="62ADA635" w14:textId="77777777" w:rsidR="00964ED8" w:rsidRPr="00066188" w:rsidRDefault="00964ED8" w:rsidP="00066188">
      <w:pPr>
        <w:pStyle w:val="Heading1"/>
      </w:pPr>
      <w:r w:rsidRPr="00066188">
        <w:t>Records Retention</w:t>
      </w:r>
    </w:p>
    <w:p w14:paraId="3ACE2502" w14:textId="43F269C3" w:rsidR="00964ED8" w:rsidRPr="008F0042" w:rsidRDefault="00964ED8" w:rsidP="00964ED8">
      <w:pPr>
        <w:pStyle w:val="Paragraph"/>
        <w:spacing w:after="0"/>
      </w:pPr>
      <w:r>
        <w:t xml:space="preserve">The </w:t>
      </w:r>
      <w:r w:rsidR="00891F59">
        <w:t>Unit</w:t>
      </w:r>
      <w:r>
        <w:t xml:space="preserve"> shall maintain all records of each sexual harassment report or complaint, regardless of later dismissal or other resolution of the allegation(s), for no less than </w:t>
      </w:r>
      <w:r w:rsidR="00066188">
        <w:t>seven</w:t>
      </w:r>
      <w:r>
        <w:t xml:space="preserve"> years from the date of the record’s creation.  This includes records relating to investigations, disciplinary sanctions, remedies, appeals, and informal resolutions.  Such records include, but are not necessarily limited to, formal complaints, notes, notices, statements, reports, and audio or audiovisual recordings or transcripts, as well as training materials used to train Title IX personnel as required by Title IX.</w:t>
      </w:r>
    </w:p>
    <w:bookmarkEnd w:id="0"/>
    <w:bookmarkEnd w:id="1"/>
    <w:p w14:paraId="116E8AD5" w14:textId="6DF85559" w:rsidR="00E42BC2" w:rsidRDefault="00E42BC2" w:rsidP="00964ED8">
      <w:pPr>
        <w:pStyle w:val="EndofPolicy"/>
        <w:spacing w:after="120"/>
      </w:pPr>
      <w:r w:rsidRPr="00C1712C">
        <w:t xml:space="preserve">End of </w:t>
      </w:r>
      <w:r w:rsidR="000F3D41">
        <w:t xml:space="preserve">East Central Special Education Unit </w:t>
      </w:r>
      <w:r w:rsidR="008F0042">
        <w:t>Board Reg. AAC-BR</w:t>
      </w:r>
      <w:r w:rsidR="00992ADE">
        <w:t>2</w:t>
      </w:r>
      <w:r w:rsidR="008F0042">
        <w:tab/>
      </w:r>
      <w:r w:rsidR="00A20C1D">
        <w:t>Adopted</w:t>
      </w:r>
      <w:r w:rsidR="008F0042">
        <w:t>:</w:t>
      </w:r>
      <w:r w:rsidR="007E1D2E">
        <w:t xml:space="preserve">  12-21-22</w:t>
      </w:r>
    </w:p>
    <w:p w14:paraId="6462FBE8" w14:textId="298679ED" w:rsidR="005C2360" w:rsidRDefault="005C2360" w:rsidP="00964ED8">
      <w:pPr>
        <w:pStyle w:val="EndofPolicy"/>
        <w:spacing w:after="120"/>
      </w:pPr>
      <w:r>
        <w:t>First Reading November 23, 2022</w:t>
      </w:r>
    </w:p>
    <w:p w14:paraId="27004A52" w14:textId="1006B4A5" w:rsidR="005C2360" w:rsidRDefault="005C2360" w:rsidP="00964ED8">
      <w:pPr>
        <w:pStyle w:val="EndofPolicy"/>
        <w:spacing w:after="120"/>
      </w:pPr>
      <w:r>
        <w:t xml:space="preserve">Second Reading December </w:t>
      </w:r>
      <w:r w:rsidR="0031438C">
        <w:t>21,</w:t>
      </w:r>
      <w:r>
        <w:t xml:space="preserve"> 2022</w:t>
      </w:r>
    </w:p>
    <w:sectPr w:rsidR="005C2360" w:rsidSect="00DF2204">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71D0" w14:textId="77777777" w:rsidR="00794528" w:rsidRDefault="00794528" w:rsidP="006B35CE">
      <w:r>
        <w:separator/>
      </w:r>
    </w:p>
    <w:p w14:paraId="4A041519" w14:textId="77777777" w:rsidR="00794528" w:rsidRDefault="00794528"/>
    <w:p w14:paraId="19AA4670" w14:textId="77777777" w:rsidR="00794528" w:rsidRDefault="00794528" w:rsidP="00311080"/>
    <w:p w14:paraId="345CEECF" w14:textId="77777777" w:rsidR="00794528" w:rsidRDefault="00794528" w:rsidP="00311080"/>
  </w:endnote>
  <w:endnote w:type="continuationSeparator" w:id="0">
    <w:p w14:paraId="480D0F12" w14:textId="77777777" w:rsidR="00794528" w:rsidRDefault="00794528" w:rsidP="006B35CE">
      <w:r>
        <w:continuationSeparator/>
      </w:r>
    </w:p>
    <w:p w14:paraId="38080B11" w14:textId="77777777" w:rsidR="00794528" w:rsidRDefault="00794528"/>
    <w:p w14:paraId="279D69BD" w14:textId="77777777" w:rsidR="00794528" w:rsidRDefault="00794528" w:rsidP="00311080"/>
    <w:p w14:paraId="5CEE33FA" w14:textId="77777777" w:rsidR="00794528" w:rsidRDefault="00794528" w:rsidP="00311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CD79" w14:textId="77777777" w:rsidR="000C3C8F" w:rsidRDefault="000C3C8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585006"/>
      <w:docPartObj>
        <w:docPartGallery w:val="Page Numbers (Bottom of Page)"/>
        <w:docPartUnique/>
      </w:docPartObj>
    </w:sdtPr>
    <w:sdtEndPr>
      <w:rPr>
        <w:rFonts w:ascii="Arial" w:hAnsi="Arial" w:cs="Arial"/>
        <w:noProof/>
        <w:sz w:val="22"/>
        <w:szCs w:val="22"/>
      </w:rPr>
    </w:sdtEndPr>
    <w:sdtContent>
      <w:p w14:paraId="3A94D752" w14:textId="77777777" w:rsidR="00AF2FFF" w:rsidRPr="008F0042" w:rsidRDefault="00AF2FFF">
        <w:pPr>
          <w:pStyle w:val="Footer0"/>
          <w:jc w:val="center"/>
          <w:rPr>
            <w:rFonts w:ascii="Arial" w:hAnsi="Arial" w:cs="Arial"/>
            <w:sz w:val="22"/>
            <w:szCs w:val="22"/>
          </w:rPr>
        </w:pPr>
        <w:r w:rsidRPr="008F0042">
          <w:rPr>
            <w:rFonts w:ascii="Arial" w:hAnsi="Arial" w:cs="Arial"/>
            <w:sz w:val="22"/>
            <w:szCs w:val="22"/>
          </w:rPr>
          <w:fldChar w:fldCharType="begin"/>
        </w:r>
        <w:r w:rsidRPr="008F0042">
          <w:rPr>
            <w:rFonts w:ascii="Arial" w:hAnsi="Arial" w:cs="Arial"/>
            <w:sz w:val="22"/>
            <w:szCs w:val="22"/>
          </w:rPr>
          <w:instrText xml:space="preserve"> PAGE   \* MERGEFORMAT </w:instrText>
        </w:r>
        <w:r w:rsidRPr="008F0042">
          <w:rPr>
            <w:rFonts w:ascii="Arial" w:hAnsi="Arial" w:cs="Arial"/>
            <w:sz w:val="22"/>
            <w:szCs w:val="22"/>
          </w:rPr>
          <w:fldChar w:fldCharType="separate"/>
        </w:r>
        <w:r w:rsidR="00117EA3">
          <w:rPr>
            <w:rFonts w:ascii="Arial" w:hAnsi="Arial" w:cs="Arial"/>
            <w:noProof/>
            <w:sz w:val="22"/>
            <w:szCs w:val="22"/>
          </w:rPr>
          <w:t>15</w:t>
        </w:r>
        <w:r w:rsidRPr="008F0042">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36F6" w14:textId="77777777" w:rsidR="000C3C8F" w:rsidRDefault="000C3C8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DFFE" w14:textId="77777777" w:rsidR="00794528" w:rsidRDefault="00794528" w:rsidP="006B35CE">
      <w:r>
        <w:separator/>
      </w:r>
    </w:p>
  </w:footnote>
  <w:footnote w:type="continuationSeparator" w:id="0">
    <w:p w14:paraId="2857D991" w14:textId="77777777" w:rsidR="00794528" w:rsidRDefault="00794528" w:rsidP="006B35CE">
      <w:r>
        <w:continuationSeparator/>
      </w:r>
    </w:p>
    <w:p w14:paraId="4D425270" w14:textId="77777777" w:rsidR="00794528" w:rsidRDefault="00794528"/>
    <w:p w14:paraId="04616676" w14:textId="77777777" w:rsidR="00794528" w:rsidRDefault="00794528" w:rsidP="00311080"/>
    <w:p w14:paraId="27A47331" w14:textId="77777777" w:rsidR="00794528" w:rsidRDefault="00794528" w:rsidP="00311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01CE" w14:textId="77777777" w:rsidR="000C3C8F" w:rsidRDefault="000C3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5591" w14:textId="51479FA1" w:rsidR="00873EA7" w:rsidRPr="004B7A81" w:rsidRDefault="00873EA7" w:rsidP="00736C3B">
    <w:pPr>
      <w:pStyle w:val="HeadeCode"/>
    </w:pPr>
    <w:r>
      <w:rPr>
        <w:b/>
      </w:rPr>
      <w:t>REQUIRED</w:t>
    </w:r>
    <w:r w:rsidR="00D65BCF">
      <w:rPr>
        <w:b/>
      </w:rPr>
      <w:t xml:space="preserve"> REGULATION</w:t>
    </w:r>
    <w:r w:rsidRPr="004B7A81">
      <w:tab/>
      <w:t xml:space="preserve">Descriptor Code: </w:t>
    </w:r>
    <w:r>
      <w:t>AAC-BR2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0E73" w14:textId="77777777" w:rsidR="000C3C8F" w:rsidRDefault="000C3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0FE"/>
    <w:multiLevelType w:val="hybridMultilevel"/>
    <w:tmpl w:val="950C8B06"/>
    <w:lvl w:ilvl="0" w:tplc="CE02D686">
      <w:start w:val="1"/>
      <w:numFmt w:val="lowerLetter"/>
      <w:pStyle w:val="letterBullet"/>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17C32"/>
    <w:multiLevelType w:val="hybridMultilevel"/>
    <w:tmpl w:val="BBA41478"/>
    <w:lvl w:ilvl="0" w:tplc="90B4F55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A320F"/>
    <w:multiLevelType w:val="hybridMultilevel"/>
    <w:tmpl w:val="4AE0F07A"/>
    <w:lvl w:ilvl="0" w:tplc="9E6882EE">
      <w:start w:val="1"/>
      <w:numFmt w:val="decimal"/>
      <w:pStyle w:val="NumBulletHead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169478">
    <w:abstractNumId w:val="2"/>
  </w:num>
  <w:num w:numId="2" w16cid:durableId="1148741097">
    <w:abstractNumId w:val="1"/>
  </w:num>
  <w:num w:numId="3" w16cid:durableId="188177763">
    <w:abstractNumId w:val="0"/>
  </w:num>
  <w:num w:numId="4" w16cid:durableId="885917983">
    <w:abstractNumId w:val="0"/>
    <w:lvlOverride w:ilvl="0">
      <w:startOverride w:val="1"/>
    </w:lvlOverride>
  </w:num>
  <w:num w:numId="5" w16cid:durableId="1988388711">
    <w:abstractNumId w:val="2"/>
    <w:lvlOverride w:ilvl="0">
      <w:startOverride w:val="1"/>
    </w:lvlOverride>
  </w:num>
  <w:num w:numId="6" w16cid:durableId="1568492862">
    <w:abstractNumId w:val="2"/>
    <w:lvlOverride w:ilvl="0">
      <w:startOverride w:val="1"/>
    </w:lvlOverride>
  </w:num>
  <w:num w:numId="7" w16cid:durableId="437146693">
    <w:abstractNumId w:val="2"/>
    <w:lvlOverride w:ilvl="0">
      <w:startOverride w:val="1"/>
    </w:lvlOverride>
  </w:num>
  <w:num w:numId="8" w16cid:durableId="571813171">
    <w:abstractNumId w:val="2"/>
    <w:lvlOverride w:ilvl="0">
      <w:startOverride w:val="1"/>
    </w:lvlOverride>
  </w:num>
  <w:num w:numId="9" w16cid:durableId="985820073">
    <w:abstractNumId w:val="2"/>
    <w:lvlOverride w:ilvl="0">
      <w:startOverride w:val="1"/>
    </w:lvlOverride>
  </w:num>
  <w:num w:numId="10" w16cid:durableId="1349794804">
    <w:abstractNumId w:val="2"/>
    <w:lvlOverride w:ilvl="0">
      <w:startOverride w:val="1"/>
    </w:lvlOverride>
  </w:num>
  <w:num w:numId="11" w16cid:durableId="1416709733">
    <w:abstractNumId w:val="2"/>
    <w:lvlOverride w:ilvl="0">
      <w:startOverride w:val="1"/>
    </w:lvlOverride>
  </w:num>
  <w:num w:numId="12" w16cid:durableId="371422947">
    <w:abstractNumId w:val="2"/>
    <w:lvlOverride w:ilvl="0">
      <w:startOverride w:val="1"/>
    </w:lvlOverride>
  </w:num>
  <w:num w:numId="13" w16cid:durableId="2136101924">
    <w:abstractNumId w:val="2"/>
    <w:lvlOverride w:ilvl="0">
      <w:startOverride w:val="1"/>
    </w:lvlOverride>
  </w:num>
  <w:num w:numId="14" w16cid:durableId="1075392077">
    <w:abstractNumId w:val="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A0"/>
    <w:rsid w:val="00005AE2"/>
    <w:rsid w:val="000166AA"/>
    <w:rsid w:val="00017A1A"/>
    <w:rsid w:val="0002557D"/>
    <w:rsid w:val="00032652"/>
    <w:rsid w:val="000475F1"/>
    <w:rsid w:val="00047D88"/>
    <w:rsid w:val="00056806"/>
    <w:rsid w:val="00066188"/>
    <w:rsid w:val="00076C24"/>
    <w:rsid w:val="00082296"/>
    <w:rsid w:val="00090D26"/>
    <w:rsid w:val="00096B13"/>
    <w:rsid w:val="00097869"/>
    <w:rsid w:val="000A7D25"/>
    <w:rsid w:val="000B57ED"/>
    <w:rsid w:val="000C0B7E"/>
    <w:rsid w:val="000C3C8F"/>
    <w:rsid w:val="000C40D9"/>
    <w:rsid w:val="000D3FE9"/>
    <w:rsid w:val="000D5284"/>
    <w:rsid w:val="000D7407"/>
    <w:rsid w:val="000E1B93"/>
    <w:rsid w:val="000F3D41"/>
    <w:rsid w:val="000F5017"/>
    <w:rsid w:val="0010658F"/>
    <w:rsid w:val="00117EA3"/>
    <w:rsid w:val="00122BBE"/>
    <w:rsid w:val="001303FE"/>
    <w:rsid w:val="00134D2F"/>
    <w:rsid w:val="0014026F"/>
    <w:rsid w:val="001616D9"/>
    <w:rsid w:val="00161F0C"/>
    <w:rsid w:val="00170A3F"/>
    <w:rsid w:val="00176BD1"/>
    <w:rsid w:val="00182EA3"/>
    <w:rsid w:val="00186AC7"/>
    <w:rsid w:val="00197221"/>
    <w:rsid w:val="001A5A86"/>
    <w:rsid w:val="001B2558"/>
    <w:rsid w:val="001B2AB9"/>
    <w:rsid w:val="001B2E8C"/>
    <w:rsid w:val="001B378C"/>
    <w:rsid w:val="001E06AA"/>
    <w:rsid w:val="001F0FCB"/>
    <w:rsid w:val="001F2CC8"/>
    <w:rsid w:val="001F5C84"/>
    <w:rsid w:val="00204A85"/>
    <w:rsid w:val="0021345A"/>
    <w:rsid w:val="00214199"/>
    <w:rsid w:val="0021536E"/>
    <w:rsid w:val="00217B6A"/>
    <w:rsid w:val="0022059B"/>
    <w:rsid w:val="00221998"/>
    <w:rsid w:val="00225A80"/>
    <w:rsid w:val="00235B33"/>
    <w:rsid w:val="0024088E"/>
    <w:rsid w:val="0024247D"/>
    <w:rsid w:val="0024595B"/>
    <w:rsid w:val="00254D82"/>
    <w:rsid w:val="00264F22"/>
    <w:rsid w:val="002876DE"/>
    <w:rsid w:val="002A1B39"/>
    <w:rsid w:val="002D6C6B"/>
    <w:rsid w:val="002D7063"/>
    <w:rsid w:val="002E1163"/>
    <w:rsid w:val="002E61F4"/>
    <w:rsid w:val="002F16C9"/>
    <w:rsid w:val="002F31E8"/>
    <w:rsid w:val="002F767A"/>
    <w:rsid w:val="00301820"/>
    <w:rsid w:val="003104EF"/>
    <w:rsid w:val="00311080"/>
    <w:rsid w:val="0031438C"/>
    <w:rsid w:val="00314BAB"/>
    <w:rsid w:val="00320212"/>
    <w:rsid w:val="003247FC"/>
    <w:rsid w:val="003271DB"/>
    <w:rsid w:val="00341067"/>
    <w:rsid w:val="00361428"/>
    <w:rsid w:val="00380AEB"/>
    <w:rsid w:val="003812B0"/>
    <w:rsid w:val="00383DE4"/>
    <w:rsid w:val="00390F27"/>
    <w:rsid w:val="00394251"/>
    <w:rsid w:val="003B0DCF"/>
    <w:rsid w:val="003C0307"/>
    <w:rsid w:val="003D3263"/>
    <w:rsid w:val="003E2E3A"/>
    <w:rsid w:val="003F07FB"/>
    <w:rsid w:val="00404969"/>
    <w:rsid w:val="004200CE"/>
    <w:rsid w:val="00421D3E"/>
    <w:rsid w:val="004322C2"/>
    <w:rsid w:val="004432A4"/>
    <w:rsid w:val="004512C6"/>
    <w:rsid w:val="00457D98"/>
    <w:rsid w:val="004627DC"/>
    <w:rsid w:val="00466DF1"/>
    <w:rsid w:val="00472D55"/>
    <w:rsid w:val="004754F7"/>
    <w:rsid w:val="004769F8"/>
    <w:rsid w:val="00477C41"/>
    <w:rsid w:val="004B4E42"/>
    <w:rsid w:val="004B75BF"/>
    <w:rsid w:val="004D1745"/>
    <w:rsid w:val="004D17FE"/>
    <w:rsid w:val="004D6E02"/>
    <w:rsid w:val="004E4CE1"/>
    <w:rsid w:val="004E5C9E"/>
    <w:rsid w:val="004E6B3A"/>
    <w:rsid w:val="004F5760"/>
    <w:rsid w:val="00504538"/>
    <w:rsid w:val="005254C9"/>
    <w:rsid w:val="00530758"/>
    <w:rsid w:val="00531BD6"/>
    <w:rsid w:val="00537CC2"/>
    <w:rsid w:val="0055108C"/>
    <w:rsid w:val="005551C2"/>
    <w:rsid w:val="0055744A"/>
    <w:rsid w:val="00575049"/>
    <w:rsid w:val="00583E4A"/>
    <w:rsid w:val="0058553F"/>
    <w:rsid w:val="0059048C"/>
    <w:rsid w:val="00597D4B"/>
    <w:rsid w:val="00597E43"/>
    <w:rsid w:val="005B5E12"/>
    <w:rsid w:val="005B5FFD"/>
    <w:rsid w:val="005C2360"/>
    <w:rsid w:val="005C2FAB"/>
    <w:rsid w:val="005C5072"/>
    <w:rsid w:val="005C6047"/>
    <w:rsid w:val="005D3001"/>
    <w:rsid w:val="005E1D17"/>
    <w:rsid w:val="005E2DB5"/>
    <w:rsid w:val="005F05D5"/>
    <w:rsid w:val="005F3003"/>
    <w:rsid w:val="00606CBA"/>
    <w:rsid w:val="0061113E"/>
    <w:rsid w:val="00611EC0"/>
    <w:rsid w:val="00611F90"/>
    <w:rsid w:val="00615265"/>
    <w:rsid w:val="00625DE7"/>
    <w:rsid w:val="00633B4B"/>
    <w:rsid w:val="00635BC2"/>
    <w:rsid w:val="0063669A"/>
    <w:rsid w:val="00645939"/>
    <w:rsid w:val="00656A7F"/>
    <w:rsid w:val="006808BA"/>
    <w:rsid w:val="00692D2D"/>
    <w:rsid w:val="006B1859"/>
    <w:rsid w:val="006B35CE"/>
    <w:rsid w:val="006C1C59"/>
    <w:rsid w:val="006C5069"/>
    <w:rsid w:val="006C5B26"/>
    <w:rsid w:val="006D695B"/>
    <w:rsid w:val="006E2D04"/>
    <w:rsid w:val="006F1A2E"/>
    <w:rsid w:val="006F26A8"/>
    <w:rsid w:val="00710AE4"/>
    <w:rsid w:val="00730158"/>
    <w:rsid w:val="007354FB"/>
    <w:rsid w:val="00736C3B"/>
    <w:rsid w:val="007409D6"/>
    <w:rsid w:val="00744ECE"/>
    <w:rsid w:val="00753B59"/>
    <w:rsid w:val="00754B87"/>
    <w:rsid w:val="007652B0"/>
    <w:rsid w:val="00771050"/>
    <w:rsid w:val="0077379B"/>
    <w:rsid w:val="00777357"/>
    <w:rsid w:val="00777A83"/>
    <w:rsid w:val="00780E84"/>
    <w:rsid w:val="00794528"/>
    <w:rsid w:val="00796784"/>
    <w:rsid w:val="007A0BBC"/>
    <w:rsid w:val="007A5302"/>
    <w:rsid w:val="007B191E"/>
    <w:rsid w:val="007D0A4D"/>
    <w:rsid w:val="007D77A5"/>
    <w:rsid w:val="007E0A9A"/>
    <w:rsid w:val="007E1D2E"/>
    <w:rsid w:val="007F7E0A"/>
    <w:rsid w:val="00822154"/>
    <w:rsid w:val="008328B6"/>
    <w:rsid w:val="00832AB6"/>
    <w:rsid w:val="00836AC3"/>
    <w:rsid w:val="00845EEF"/>
    <w:rsid w:val="008510DF"/>
    <w:rsid w:val="00852E1E"/>
    <w:rsid w:val="00861F6B"/>
    <w:rsid w:val="00862EA4"/>
    <w:rsid w:val="00866A2A"/>
    <w:rsid w:val="00871CE9"/>
    <w:rsid w:val="00873EA7"/>
    <w:rsid w:val="00875321"/>
    <w:rsid w:val="00883C07"/>
    <w:rsid w:val="00883F11"/>
    <w:rsid w:val="00891F59"/>
    <w:rsid w:val="008C65B8"/>
    <w:rsid w:val="008D30D3"/>
    <w:rsid w:val="008E2FB3"/>
    <w:rsid w:val="008E53C9"/>
    <w:rsid w:val="008F0042"/>
    <w:rsid w:val="008F264E"/>
    <w:rsid w:val="008F5DC0"/>
    <w:rsid w:val="008F757C"/>
    <w:rsid w:val="00900A81"/>
    <w:rsid w:val="00904520"/>
    <w:rsid w:val="00911048"/>
    <w:rsid w:val="009117AC"/>
    <w:rsid w:val="009203FC"/>
    <w:rsid w:val="009228A6"/>
    <w:rsid w:val="0093745F"/>
    <w:rsid w:val="00937565"/>
    <w:rsid w:val="009475C4"/>
    <w:rsid w:val="0095351D"/>
    <w:rsid w:val="00964ED8"/>
    <w:rsid w:val="00971D51"/>
    <w:rsid w:val="00984412"/>
    <w:rsid w:val="00992ADE"/>
    <w:rsid w:val="00994DDF"/>
    <w:rsid w:val="0099664E"/>
    <w:rsid w:val="009A0C4E"/>
    <w:rsid w:val="009A269F"/>
    <w:rsid w:val="009A666B"/>
    <w:rsid w:val="009C1608"/>
    <w:rsid w:val="009C4DE7"/>
    <w:rsid w:val="009E1603"/>
    <w:rsid w:val="009F487D"/>
    <w:rsid w:val="00A003FD"/>
    <w:rsid w:val="00A0547F"/>
    <w:rsid w:val="00A20013"/>
    <w:rsid w:val="00A20C1D"/>
    <w:rsid w:val="00A239EF"/>
    <w:rsid w:val="00A24098"/>
    <w:rsid w:val="00A25A4C"/>
    <w:rsid w:val="00A264F9"/>
    <w:rsid w:val="00A31A01"/>
    <w:rsid w:val="00A32FA0"/>
    <w:rsid w:val="00A45314"/>
    <w:rsid w:val="00A475D2"/>
    <w:rsid w:val="00A47FEB"/>
    <w:rsid w:val="00A51AE9"/>
    <w:rsid w:val="00A57FAD"/>
    <w:rsid w:val="00A64884"/>
    <w:rsid w:val="00A850E2"/>
    <w:rsid w:val="00A861FA"/>
    <w:rsid w:val="00A90B76"/>
    <w:rsid w:val="00AB20E9"/>
    <w:rsid w:val="00AC40FB"/>
    <w:rsid w:val="00AD2B0B"/>
    <w:rsid w:val="00AD36CC"/>
    <w:rsid w:val="00AE1927"/>
    <w:rsid w:val="00AE3ECF"/>
    <w:rsid w:val="00AE42CE"/>
    <w:rsid w:val="00AE696A"/>
    <w:rsid w:val="00AF2FFF"/>
    <w:rsid w:val="00AF7A86"/>
    <w:rsid w:val="00B223E5"/>
    <w:rsid w:val="00B46211"/>
    <w:rsid w:val="00B5166B"/>
    <w:rsid w:val="00B6349D"/>
    <w:rsid w:val="00B64710"/>
    <w:rsid w:val="00B84E6E"/>
    <w:rsid w:val="00B92843"/>
    <w:rsid w:val="00B967D5"/>
    <w:rsid w:val="00BA025F"/>
    <w:rsid w:val="00BB3881"/>
    <w:rsid w:val="00BB534A"/>
    <w:rsid w:val="00BC0607"/>
    <w:rsid w:val="00BC1BC5"/>
    <w:rsid w:val="00BC2730"/>
    <w:rsid w:val="00BD4804"/>
    <w:rsid w:val="00BD5064"/>
    <w:rsid w:val="00BE4C6C"/>
    <w:rsid w:val="00BE6BC4"/>
    <w:rsid w:val="00BF0745"/>
    <w:rsid w:val="00BF42FA"/>
    <w:rsid w:val="00C05488"/>
    <w:rsid w:val="00C10E99"/>
    <w:rsid w:val="00C1325C"/>
    <w:rsid w:val="00C1712C"/>
    <w:rsid w:val="00C262CE"/>
    <w:rsid w:val="00C26655"/>
    <w:rsid w:val="00C3273D"/>
    <w:rsid w:val="00C35B73"/>
    <w:rsid w:val="00C35D79"/>
    <w:rsid w:val="00C365A7"/>
    <w:rsid w:val="00C43485"/>
    <w:rsid w:val="00C52B91"/>
    <w:rsid w:val="00C5672D"/>
    <w:rsid w:val="00C61406"/>
    <w:rsid w:val="00C61F82"/>
    <w:rsid w:val="00C63601"/>
    <w:rsid w:val="00C63610"/>
    <w:rsid w:val="00C643C8"/>
    <w:rsid w:val="00C81E97"/>
    <w:rsid w:val="00C8358D"/>
    <w:rsid w:val="00C8705B"/>
    <w:rsid w:val="00CA1DA3"/>
    <w:rsid w:val="00CB2E76"/>
    <w:rsid w:val="00CB35A7"/>
    <w:rsid w:val="00CD3B76"/>
    <w:rsid w:val="00CD500A"/>
    <w:rsid w:val="00CE201E"/>
    <w:rsid w:val="00CE3BF3"/>
    <w:rsid w:val="00CE5C7F"/>
    <w:rsid w:val="00CF64B8"/>
    <w:rsid w:val="00D0451C"/>
    <w:rsid w:val="00D04AA0"/>
    <w:rsid w:val="00D04DE4"/>
    <w:rsid w:val="00D1509D"/>
    <w:rsid w:val="00D158DF"/>
    <w:rsid w:val="00D20AA6"/>
    <w:rsid w:val="00D2632F"/>
    <w:rsid w:val="00D32204"/>
    <w:rsid w:val="00D4538D"/>
    <w:rsid w:val="00D56785"/>
    <w:rsid w:val="00D60367"/>
    <w:rsid w:val="00D61ADA"/>
    <w:rsid w:val="00D65BCF"/>
    <w:rsid w:val="00D67C67"/>
    <w:rsid w:val="00D85619"/>
    <w:rsid w:val="00D976BD"/>
    <w:rsid w:val="00DA1F86"/>
    <w:rsid w:val="00DC183C"/>
    <w:rsid w:val="00DD5C70"/>
    <w:rsid w:val="00DD61C8"/>
    <w:rsid w:val="00DE6697"/>
    <w:rsid w:val="00DF1048"/>
    <w:rsid w:val="00DF2204"/>
    <w:rsid w:val="00DF3E5B"/>
    <w:rsid w:val="00E00193"/>
    <w:rsid w:val="00E01A49"/>
    <w:rsid w:val="00E14944"/>
    <w:rsid w:val="00E20E72"/>
    <w:rsid w:val="00E218B8"/>
    <w:rsid w:val="00E3682E"/>
    <w:rsid w:val="00E42BC2"/>
    <w:rsid w:val="00E46533"/>
    <w:rsid w:val="00E53732"/>
    <w:rsid w:val="00E55118"/>
    <w:rsid w:val="00E56790"/>
    <w:rsid w:val="00E6051E"/>
    <w:rsid w:val="00E9475D"/>
    <w:rsid w:val="00E95EEC"/>
    <w:rsid w:val="00EA2062"/>
    <w:rsid w:val="00EA2490"/>
    <w:rsid w:val="00EB2171"/>
    <w:rsid w:val="00EB726A"/>
    <w:rsid w:val="00ED17A8"/>
    <w:rsid w:val="00ED4097"/>
    <w:rsid w:val="00ED57F4"/>
    <w:rsid w:val="00EE470D"/>
    <w:rsid w:val="00EE73C1"/>
    <w:rsid w:val="00EF602B"/>
    <w:rsid w:val="00F06882"/>
    <w:rsid w:val="00F153EE"/>
    <w:rsid w:val="00F22892"/>
    <w:rsid w:val="00F265AE"/>
    <w:rsid w:val="00F301F2"/>
    <w:rsid w:val="00F30F97"/>
    <w:rsid w:val="00F356D8"/>
    <w:rsid w:val="00F42B94"/>
    <w:rsid w:val="00F42D0B"/>
    <w:rsid w:val="00F44693"/>
    <w:rsid w:val="00F61424"/>
    <w:rsid w:val="00F622EC"/>
    <w:rsid w:val="00F6336B"/>
    <w:rsid w:val="00F6732F"/>
    <w:rsid w:val="00F85433"/>
    <w:rsid w:val="00F91195"/>
    <w:rsid w:val="00F935E1"/>
    <w:rsid w:val="00F94FA9"/>
    <w:rsid w:val="00F97C8F"/>
    <w:rsid w:val="00FA4AEB"/>
    <w:rsid w:val="00FA6FC4"/>
    <w:rsid w:val="00FC10CB"/>
    <w:rsid w:val="00FC4FA7"/>
    <w:rsid w:val="00FD5CB3"/>
    <w:rsid w:val="00FF1F42"/>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70C78"/>
  <w15:chartTrackingRefBased/>
  <w15:docId w15:val="{8C5E9768-7D40-454F-831C-9296A0B9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Text"/>
    <w:next w:val="Normal"/>
    <w:qFormat/>
    <w:rsid w:val="006C5B26"/>
    <w:pPr>
      <w:spacing w:after="0"/>
      <w:outlineLvl w:val="0"/>
    </w:pPr>
    <w:rPr>
      <w:rFonts w:cs="Arial"/>
      <w:b/>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sz w:val="28"/>
    </w:rPr>
  </w:style>
  <w:style w:type="paragraph" w:customStyle="1" w:styleId="BodyText">
    <w:name w:val="(BodyText"/>
    <w:basedOn w:val="Normal"/>
    <w:link w:val="BodyTextChar"/>
    <w:rsid w:val="00E01A49"/>
    <w:pPr>
      <w:tabs>
        <w:tab w:val="left" w:pos="432"/>
      </w:tabs>
      <w:spacing w:after="240"/>
      <w:jc w:val="both"/>
    </w:pPr>
    <w:rPr>
      <w:rFonts w:ascii="Arial" w:hAnsi="Arial"/>
    </w:rPr>
  </w:style>
  <w:style w:type="paragraph" w:customStyle="1" w:styleId="CrossRef">
    <w:name w:val="(CrossRef"/>
    <w:rsid w:val="006C5B26"/>
    <w:pPr>
      <w:tabs>
        <w:tab w:val="right" w:leader="underscore" w:pos="9360"/>
      </w:tabs>
      <w:jc w:val="both"/>
    </w:pPr>
    <w:rPr>
      <w:rFonts w:ascii="Arial" w:hAnsi="Arial"/>
      <w:b/>
      <w:sz w:val="24"/>
      <w:u w:val="single"/>
    </w:rPr>
  </w:style>
  <w:style w:type="paragraph" w:customStyle="1" w:styleId="Footer">
    <w:name w:val="(Footer"/>
    <w:basedOn w:val="Normal"/>
    <w:link w:val="FooterChar"/>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alloonText">
    <w:name w:val="Balloon Text"/>
    <w:basedOn w:val="Normal"/>
    <w:link w:val="BalloonTextChar"/>
    <w:uiPriority w:val="99"/>
    <w:semiHidden/>
    <w:unhideWhenUsed/>
    <w:rsid w:val="00F42B94"/>
    <w:rPr>
      <w:rFonts w:ascii="Tahoma" w:hAnsi="Tahoma"/>
      <w:sz w:val="16"/>
      <w:szCs w:val="16"/>
      <w:lang w:val="x-none" w:eastAsia="x-none"/>
    </w:rPr>
  </w:style>
  <w:style w:type="character" w:customStyle="1" w:styleId="BalloonTextChar">
    <w:name w:val="Balloon Text Char"/>
    <w:link w:val="BalloonText"/>
    <w:uiPriority w:val="99"/>
    <w:semiHidden/>
    <w:rsid w:val="00F42B94"/>
    <w:rPr>
      <w:rFonts w:ascii="Tahoma" w:hAnsi="Tahoma" w:cs="Tahoma"/>
      <w:sz w:val="16"/>
      <w:szCs w:val="16"/>
    </w:rPr>
  </w:style>
  <w:style w:type="table" w:styleId="TableGrid">
    <w:name w:val="Table Grid"/>
    <w:basedOn w:val="TableNormal"/>
    <w:uiPriority w:val="59"/>
    <w:rsid w:val="00B6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35CE"/>
    <w:rPr>
      <w:sz w:val="20"/>
      <w:szCs w:val="20"/>
    </w:rPr>
  </w:style>
  <w:style w:type="character" w:customStyle="1" w:styleId="FootnoteTextChar">
    <w:name w:val="Footnote Text Char"/>
    <w:basedOn w:val="DefaultParagraphFont"/>
    <w:link w:val="FootnoteText"/>
    <w:uiPriority w:val="99"/>
    <w:semiHidden/>
    <w:rsid w:val="006B35CE"/>
  </w:style>
  <w:style w:type="character" w:styleId="FootnoteReference">
    <w:name w:val="footnote reference"/>
    <w:uiPriority w:val="99"/>
    <w:semiHidden/>
    <w:unhideWhenUsed/>
    <w:rsid w:val="006B35CE"/>
    <w:rPr>
      <w:vertAlign w:val="superscript"/>
    </w:rPr>
  </w:style>
  <w:style w:type="character" w:styleId="CommentReference">
    <w:name w:val="annotation reference"/>
    <w:uiPriority w:val="99"/>
    <w:semiHidden/>
    <w:unhideWhenUsed/>
    <w:rsid w:val="001E06AA"/>
    <w:rPr>
      <w:sz w:val="16"/>
      <w:szCs w:val="16"/>
    </w:rPr>
  </w:style>
  <w:style w:type="paragraph" w:styleId="CommentText">
    <w:name w:val="annotation text"/>
    <w:basedOn w:val="Normal"/>
    <w:link w:val="CommentTextChar"/>
    <w:uiPriority w:val="99"/>
    <w:semiHidden/>
    <w:unhideWhenUsed/>
    <w:rsid w:val="001E06AA"/>
    <w:rPr>
      <w:sz w:val="20"/>
      <w:szCs w:val="20"/>
    </w:rPr>
  </w:style>
  <w:style w:type="character" w:customStyle="1" w:styleId="CommentTextChar">
    <w:name w:val="Comment Text Char"/>
    <w:basedOn w:val="DefaultParagraphFont"/>
    <w:link w:val="CommentText"/>
    <w:uiPriority w:val="99"/>
    <w:semiHidden/>
    <w:rsid w:val="001E06AA"/>
  </w:style>
  <w:style w:type="paragraph" w:styleId="CommentSubject">
    <w:name w:val="annotation subject"/>
    <w:basedOn w:val="CommentText"/>
    <w:next w:val="CommentText"/>
    <w:link w:val="CommentSubjectChar"/>
    <w:uiPriority w:val="99"/>
    <w:semiHidden/>
    <w:unhideWhenUsed/>
    <w:rsid w:val="001E06AA"/>
    <w:rPr>
      <w:b/>
      <w:bCs/>
    </w:rPr>
  </w:style>
  <w:style w:type="character" w:customStyle="1" w:styleId="CommentSubjectChar">
    <w:name w:val="Comment Subject Char"/>
    <w:link w:val="CommentSubject"/>
    <w:uiPriority w:val="99"/>
    <w:semiHidden/>
    <w:rsid w:val="001E06AA"/>
    <w:rPr>
      <w:b/>
      <w:bCs/>
    </w:rPr>
  </w:style>
  <w:style w:type="paragraph" w:styleId="Revision">
    <w:name w:val="Revision"/>
    <w:hidden/>
    <w:uiPriority w:val="99"/>
    <w:semiHidden/>
    <w:rsid w:val="001E06AA"/>
    <w:rPr>
      <w:sz w:val="24"/>
      <w:szCs w:val="24"/>
    </w:rPr>
  </w:style>
  <w:style w:type="paragraph" w:styleId="Header">
    <w:name w:val="header"/>
    <w:basedOn w:val="Normal"/>
    <w:link w:val="HeaderChar"/>
    <w:uiPriority w:val="99"/>
    <w:unhideWhenUsed/>
    <w:rsid w:val="004D17FE"/>
    <w:pPr>
      <w:tabs>
        <w:tab w:val="center" w:pos="4680"/>
        <w:tab w:val="right" w:pos="9360"/>
      </w:tabs>
    </w:pPr>
  </w:style>
  <w:style w:type="character" w:customStyle="1" w:styleId="HeaderChar">
    <w:name w:val="Header Char"/>
    <w:link w:val="Header"/>
    <w:uiPriority w:val="99"/>
    <w:rsid w:val="004D17FE"/>
    <w:rPr>
      <w:sz w:val="24"/>
      <w:szCs w:val="24"/>
    </w:rPr>
  </w:style>
  <w:style w:type="paragraph" w:styleId="Footer0">
    <w:name w:val="footer"/>
    <w:basedOn w:val="Normal"/>
    <w:link w:val="FooterChar0"/>
    <w:uiPriority w:val="99"/>
    <w:unhideWhenUsed/>
    <w:rsid w:val="004D17FE"/>
    <w:pPr>
      <w:tabs>
        <w:tab w:val="center" w:pos="4680"/>
        <w:tab w:val="right" w:pos="9360"/>
      </w:tabs>
    </w:pPr>
  </w:style>
  <w:style w:type="character" w:customStyle="1" w:styleId="FooterChar0">
    <w:name w:val="Footer Char"/>
    <w:link w:val="Footer0"/>
    <w:uiPriority w:val="99"/>
    <w:rsid w:val="004D17FE"/>
    <w:rPr>
      <w:sz w:val="24"/>
      <w:szCs w:val="24"/>
    </w:rPr>
  </w:style>
  <w:style w:type="paragraph" w:styleId="Title">
    <w:name w:val="Title"/>
    <w:basedOn w:val="Normal"/>
    <w:next w:val="Normal"/>
    <w:link w:val="TitleChar"/>
    <w:uiPriority w:val="10"/>
    <w:qFormat/>
    <w:rsid w:val="00AE1927"/>
    <w:pPr>
      <w:spacing w:after="240"/>
      <w:jc w:val="center"/>
      <w:outlineLvl w:val="0"/>
    </w:pPr>
    <w:rPr>
      <w:rFonts w:ascii="Arial" w:hAnsi="Arial"/>
      <w:b/>
      <w:bCs/>
      <w:kern w:val="28"/>
      <w:szCs w:val="32"/>
    </w:rPr>
  </w:style>
  <w:style w:type="character" w:customStyle="1" w:styleId="TitleChar">
    <w:name w:val="Title Char"/>
    <w:link w:val="Title"/>
    <w:uiPriority w:val="10"/>
    <w:rsid w:val="00AE1927"/>
    <w:rPr>
      <w:rFonts w:ascii="Arial" w:hAnsi="Arial"/>
      <w:b/>
      <w:bCs/>
      <w:kern w:val="28"/>
      <w:sz w:val="24"/>
      <w:szCs w:val="32"/>
    </w:rPr>
  </w:style>
  <w:style w:type="paragraph" w:customStyle="1" w:styleId="Paragraph">
    <w:name w:val="Paragraph"/>
    <w:basedOn w:val="BodyText"/>
    <w:link w:val="ParagraphChar"/>
    <w:qFormat/>
    <w:rsid w:val="006C5B26"/>
    <w:pPr>
      <w:tabs>
        <w:tab w:val="clear" w:pos="432"/>
        <w:tab w:val="left" w:pos="720"/>
      </w:tabs>
    </w:pPr>
    <w:rPr>
      <w:rFonts w:cs="Arial"/>
    </w:rPr>
  </w:style>
  <w:style w:type="paragraph" w:customStyle="1" w:styleId="NumBulletHeader">
    <w:name w:val="NumBulletHeader"/>
    <w:basedOn w:val="BodyText"/>
    <w:link w:val="NumBulletHeaderChar"/>
    <w:qFormat/>
    <w:rsid w:val="00032652"/>
    <w:pPr>
      <w:numPr>
        <w:numId w:val="1"/>
      </w:numPr>
      <w:tabs>
        <w:tab w:val="clear" w:pos="432"/>
      </w:tabs>
      <w:spacing w:after="120"/>
      <w:ind w:left="720" w:hanging="720"/>
    </w:pPr>
  </w:style>
  <w:style w:type="character" w:customStyle="1" w:styleId="BodyTextChar">
    <w:name w:val="(BodyText Char"/>
    <w:link w:val="BodyText"/>
    <w:rsid w:val="00311080"/>
    <w:rPr>
      <w:rFonts w:ascii="Arial" w:hAnsi="Arial"/>
      <w:sz w:val="24"/>
      <w:szCs w:val="24"/>
    </w:rPr>
  </w:style>
  <w:style w:type="character" w:customStyle="1" w:styleId="ParagraphChar">
    <w:name w:val="Paragraph Char"/>
    <w:link w:val="Paragraph"/>
    <w:rsid w:val="006C5B26"/>
    <w:rPr>
      <w:rFonts w:ascii="Arial" w:hAnsi="Arial" w:cs="Arial"/>
      <w:sz w:val="24"/>
      <w:szCs w:val="24"/>
    </w:rPr>
  </w:style>
  <w:style w:type="paragraph" w:customStyle="1" w:styleId="letterBullet">
    <w:name w:val="letter Bullet"/>
    <w:basedOn w:val="BodyText"/>
    <w:link w:val="letterBulletChar"/>
    <w:qFormat/>
    <w:rsid w:val="00032652"/>
    <w:pPr>
      <w:numPr>
        <w:numId w:val="3"/>
      </w:numPr>
      <w:tabs>
        <w:tab w:val="clear" w:pos="432"/>
        <w:tab w:val="left" w:pos="720"/>
      </w:tabs>
      <w:spacing w:after="0"/>
    </w:pPr>
  </w:style>
  <w:style w:type="character" w:customStyle="1" w:styleId="NumBulletHeaderChar">
    <w:name w:val="NumBulletHeader Char"/>
    <w:basedOn w:val="BodyTextChar"/>
    <w:link w:val="NumBulletHeader"/>
    <w:rsid w:val="00032652"/>
    <w:rPr>
      <w:rFonts w:ascii="Arial" w:hAnsi="Arial"/>
      <w:sz w:val="24"/>
      <w:szCs w:val="24"/>
    </w:rPr>
  </w:style>
  <w:style w:type="paragraph" w:customStyle="1" w:styleId="BulletList">
    <w:name w:val="Bullet List"/>
    <w:basedOn w:val="BodyText"/>
    <w:link w:val="BulletListChar"/>
    <w:qFormat/>
    <w:rsid w:val="00AE1927"/>
    <w:pPr>
      <w:numPr>
        <w:numId w:val="2"/>
      </w:numPr>
      <w:tabs>
        <w:tab w:val="clear" w:pos="432"/>
        <w:tab w:val="left" w:pos="720"/>
      </w:tabs>
      <w:spacing w:after="120"/>
      <w:ind w:hanging="720"/>
    </w:pPr>
  </w:style>
  <w:style w:type="character" w:customStyle="1" w:styleId="letterBulletChar">
    <w:name w:val="letter Bullet Char"/>
    <w:basedOn w:val="BodyTextChar"/>
    <w:link w:val="letterBullet"/>
    <w:rsid w:val="00032652"/>
    <w:rPr>
      <w:rFonts w:ascii="Arial" w:hAnsi="Arial"/>
      <w:sz w:val="24"/>
      <w:szCs w:val="24"/>
    </w:rPr>
  </w:style>
  <w:style w:type="paragraph" w:customStyle="1" w:styleId="EndofPolicy">
    <w:name w:val="End of Policy"/>
    <w:basedOn w:val="Footer"/>
    <w:link w:val="EndofPolicyChar"/>
    <w:qFormat/>
    <w:rsid w:val="006C5B26"/>
    <w:pPr>
      <w:tabs>
        <w:tab w:val="clear" w:pos="8640"/>
        <w:tab w:val="right" w:leader="dot" w:pos="9360"/>
      </w:tabs>
      <w:spacing w:before="240" w:after="240"/>
    </w:pPr>
    <w:rPr>
      <w:rFonts w:cs="Arial"/>
      <w:szCs w:val="20"/>
    </w:rPr>
  </w:style>
  <w:style w:type="character" w:customStyle="1" w:styleId="BulletListChar">
    <w:name w:val="Bullet List Char"/>
    <w:link w:val="BulletList"/>
    <w:rsid w:val="00AE1927"/>
    <w:rPr>
      <w:rFonts w:ascii="Arial" w:hAnsi="Arial"/>
      <w:sz w:val="24"/>
      <w:szCs w:val="24"/>
    </w:rPr>
  </w:style>
  <w:style w:type="paragraph" w:styleId="NoSpacing">
    <w:name w:val="No Spacing"/>
    <w:uiPriority w:val="1"/>
    <w:qFormat/>
    <w:rsid w:val="00C1712C"/>
    <w:rPr>
      <w:rFonts w:ascii="Arial" w:hAnsi="Arial"/>
      <w:sz w:val="24"/>
      <w:szCs w:val="24"/>
    </w:rPr>
  </w:style>
  <w:style w:type="character" w:customStyle="1" w:styleId="FooterChar">
    <w:name w:val="(Footer Char"/>
    <w:link w:val="Footer"/>
    <w:rsid w:val="00C61406"/>
    <w:rPr>
      <w:rFonts w:ascii="Arial" w:hAnsi="Arial"/>
      <w:b/>
      <w:szCs w:val="24"/>
    </w:rPr>
  </w:style>
  <w:style w:type="character" w:customStyle="1" w:styleId="EndofPolicyChar">
    <w:name w:val="End of Policy Char"/>
    <w:link w:val="EndofPolicy"/>
    <w:rsid w:val="006C5B26"/>
    <w:rPr>
      <w:rFonts w:ascii="Arial" w:hAnsi="Arial" w:cs="Arial"/>
      <w:b/>
    </w:rPr>
  </w:style>
  <w:style w:type="paragraph" w:customStyle="1" w:styleId="HeadeCode">
    <w:name w:val="Heade Code"/>
    <w:basedOn w:val="Normal"/>
    <w:qFormat/>
    <w:rsid w:val="00736C3B"/>
    <w:pPr>
      <w:tabs>
        <w:tab w:val="right" w:pos="9360"/>
      </w:tabs>
      <w:spacing w:before="240" w:after="240"/>
      <w:jc w:val="both"/>
    </w:pPr>
    <w:rPr>
      <w:rFonts w:ascii="Arial" w:hAnsi="Arial" w:cs="Arial"/>
      <w:bCs/>
      <w:noProof/>
    </w:rPr>
  </w:style>
  <w:style w:type="paragraph" w:styleId="EndnoteText">
    <w:name w:val="endnote text"/>
    <w:basedOn w:val="Normal"/>
    <w:link w:val="EndnoteTextChar"/>
    <w:uiPriority w:val="99"/>
    <w:semiHidden/>
    <w:unhideWhenUsed/>
    <w:rsid w:val="005D3001"/>
    <w:rPr>
      <w:sz w:val="20"/>
      <w:szCs w:val="20"/>
    </w:rPr>
  </w:style>
  <w:style w:type="character" w:customStyle="1" w:styleId="EndnoteTextChar">
    <w:name w:val="Endnote Text Char"/>
    <w:basedOn w:val="DefaultParagraphFont"/>
    <w:link w:val="EndnoteText"/>
    <w:uiPriority w:val="99"/>
    <w:semiHidden/>
    <w:rsid w:val="005D3001"/>
  </w:style>
  <w:style w:type="character" w:styleId="EndnoteReference">
    <w:name w:val="endnote reference"/>
    <w:basedOn w:val="DefaultParagraphFont"/>
    <w:uiPriority w:val="99"/>
    <w:semiHidden/>
    <w:unhideWhenUsed/>
    <w:rsid w:val="005D3001"/>
    <w:rPr>
      <w:vertAlign w:val="superscript"/>
    </w:rPr>
  </w:style>
  <w:style w:type="paragraph" w:customStyle="1" w:styleId="HeaderLink">
    <w:name w:val="Header Link"/>
    <w:link w:val="HeaderLinkChar"/>
    <w:qFormat/>
    <w:rsid w:val="00736C3B"/>
    <w:pPr>
      <w:outlineLvl w:val="0"/>
    </w:pPr>
    <w:rPr>
      <w:rFonts w:ascii="Arial" w:hAnsi="Arial" w:cs="Arial"/>
      <w:b/>
      <w:bCs/>
      <w:sz w:val="24"/>
      <w:szCs w:val="24"/>
    </w:rPr>
  </w:style>
  <w:style w:type="character" w:customStyle="1" w:styleId="HeaderLinkChar">
    <w:name w:val="Header Link Char"/>
    <w:link w:val="HeaderLink"/>
    <w:rsid w:val="00736C3B"/>
    <w:rPr>
      <w:rFonts w:ascii="Arial" w:hAnsi="Arial" w:cs="Arial"/>
      <w:b/>
      <w:bCs/>
      <w:sz w:val="24"/>
      <w:szCs w:val="24"/>
    </w:rPr>
  </w:style>
  <w:style w:type="paragraph" w:styleId="ListParagraph">
    <w:name w:val="List Paragraph"/>
    <w:basedOn w:val="Normal"/>
    <w:uiPriority w:val="34"/>
    <w:qFormat/>
    <w:rsid w:val="00E53732"/>
    <w:pPr>
      <w:ind w:left="720"/>
      <w:contextualSpacing/>
    </w:pPr>
  </w:style>
  <w:style w:type="paragraph" w:customStyle="1" w:styleId="NumBullet">
    <w:name w:val="NumBullet"/>
    <w:basedOn w:val="BodyText"/>
    <w:link w:val="NumBulletChar"/>
    <w:qFormat/>
    <w:rsid w:val="00AF7A86"/>
    <w:pPr>
      <w:tabs>
        <w:tab w:val="clear" w:pos="432"/>
        <w:tab w:val="left" w:pos="720"/>
      </w:tabs>
      <w:spacing w:after="120"/>
    </w:pPr>
  </w:style>
  <w:style w:type="character" w:customStyle="1" w:styleId="NumBulletChar">
    <w:name w:val="NumBullet Char"/>
    <w:basedOn w:val="BodyTextChar"/>
    <w:link w:val="NumBullet"/>
    <w:rsid w:val="00AF7A86"/>
    <w:rPr>
      <w:rFonts w:ascii="Arial" w:hAnsi="Arial"/>
      <w:sz w:val="24"/>
      <w:szCs w:val="24"/>
    </w:rPr>
  </w:style>
  <w:style w:type="character" w:styleId="Emphasis">
    <w:name w:val="Emphasis"/>
    <w:basedOn w:val="DefaultParagraphFont"/>
    <w:uiPriority w:val="20"/>
    <w:qFormat/>
    <w:rsid w:val="009C4DE7"/>
    <w:rPr>
      <w:i/>
      <w:iCs/>
    </w:rPr>
  </w:style>
  <w:style w:type="paragraph" w:customStyle="1" w:styleId="Default">
    <w:name w:val="Default"/>
    <w:rsid w:val="00F935E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2510">
      <w:bodyDiv w:val="1"/>
      <w:marLeft w:val="0"/>
      <w:marRight w:val="0"/>
      <w:marTop w:val="0"/>
      <w:marBottom w:val="0"/>
      <w:divBdr>
        <w:top w:val="none" w:sz="0" w:space="0" w:color="auto"/>
        <w:left w:val="none" w:sz="0" w:space="0" w:color="auto"/>
        <w:bottom w:val="none" w:sz="0" w:space="0" w:color="auto"/>
        <w:right w:val="none" w:sz="0" w:space="0" w:color="auto"/>
      </w:divBdr>
    </w:div>
    <w:div w:id="21237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94CA-5AB7-40BD-964E-BC54F06F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AAC-BR--DISCRIMINATION AND HARASSMENT GRIEVANCE PROCEDURE</vt:lpstr>
    </vt:vector>
  </TitlesOfParts>
  <Company>Dakota Oak, Inc</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AAC-BR--DISCRIMINATION AND HARASSMENT GRIEVANCE PROCEDURE</dc:title>
  <dc:subject/>
  <dc:creator>NDSBA</dc:creator>
  <cp:keywords>AAC-BR--DISCRIMINATION AND HARASSMENT GRIEVANCE PROCEDURE</cp:keywords>
  <dc:description/>
  <cp:lastModifiedBy>Renae   Duchscherer</cp:lastModifiedBy>
  <cp:revision>5</cp:revision>
  <cp:lastPrinted>2022-10-25T14:31:00Z</cp:lastPrinted>
  <dcterms:created xsi:type="dcterms:W3CDTF">2022-12-02T15:16:00Z</dcterms:created>
  <dcterms:modified xsi:type="dcterms:W3CDTF">2022-12-21T14:37:00Z</dcterms:modified>
</cp:coreProperties>
</file>